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6" w:rsidRPr="009166C2" w:rsidRDefault="009166C2" w:rsidP="008907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Cs w:val="24"/>
        </w:rPr>
      </w:pPr>
      <w:r w:rsidRPr="009166C2">
        <w:rPr>
          <w:rFonts w:ascii="Times New Roman" w:hAnsi="Times New Roman"/>
          <w:b/>
          <w:sz w:val="28"/>
          <w:szCs w:val="24"/>
        </w:rPr>
        <w:t xml:space="preserve">Маркетинговый план для торговой марки </w:t>
      </w:r>
      <w:r w:rsidRPr="009166C2">
        <w:rPr>
          <w:rFonts w:ascii="Times New Roman" w:hAnsi="Times New Roman"/>
          <w:b/>
          <w:i/>
          <w:sz w:val="28"/>
          <w:szCs w:val="24"/>
          <w:lang w:val="en-US"/>
        </w:rPr>
        <w:t>DUPLEX</w:t>
      </w:r>
      <w:r w:rsidRPr="009166C2">
        <w:rPr>
          <w:rFonts w:ascii="Times New Roman" w:hAnsi="Times New Roman"/>
          <w:b/>
          <w:sz w:val="28"/>
          <w:szCs w:val="24"/>
        </w:rPr>
        <w:t>, компании Х</w:t>
      </w:r>
      <w:r>
        <w:rPr>
          <w:rFonts w:ascii="Times New Roman" w:hAnsi="Times New Roman"/>
          <w:b/>
          <w:sz w:val="28"/>
          <w:szCs w:val="24"/>
        </w:rPr>
        <w:t>.</w:t>
      </w:r>
    </w:p>
    <w:tbl>
      <w:tblPr>
        <w:tblStyle w:val="af3"/>
        <w:tblW w:w="10742" w:type="dxa"/>
        <w:tblInd w:w="-1168" w:type="dxa"/>
        <w:tblLayout w:type="fixed"/>
        <w:tblLook w:val="04A0"/>
      </w:tblPr>
      <w:tblGrid>
        <w:gridCol w:w="709"/>
        <w:gridCol w:w="425"/>
        <w:gridCol w:w="1560"/>
        <w:gridCol w:w="992"/>
        <w:gridCol w:w="1134"/>
        <w:gridCol w:w="5922"/>
      </w:tblGrid>
      <w:tr w:rsidR="00890706" w:rsidRPr="007876ED" w:rsidTr="00EF19FC">
        <w:trPr>
          <w:trHeight w:hRule="exact" w:val="279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890706" w:rsidRDefault="00890706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890706">
              <w:rPr>
                <w:rFonts w:ascii="Times New Roman" w:hAnsi="Times New Roman"/>
                <w:sz w:val="18"/>
                <w:szCs w:val="24"/>
                <w:lang w:val="en-US"/>
              </w:rPr>
              <w:t>I.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890706" w:rsidRDefault="00890706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890706">
              <w:rPr>
                <w:rFonts w:ascii="Times New Roman" w:hAnsi="Times New Roman"/>
                <w:szCs w:val="24"/>
              </w:rPr>
              <w:t xml:space="preserve">Краткий обзор </w:t>
            </w:r>
            <w:r w:rsidR="007876ED">
              <w:rPr>
                <w:rFonts w:ascii="Times New Roman" w:hAnsi="Times New Roman"/>
                <w:szCs w:val="24"/>
              </w:rPr>
              <w:t xml:space="preserve">и содержание </w:t>
            </w:r>
            <w:r w:rsidRPr="00890706">
              <w:rPr>
                <w:rFonts w:ascii="Times New Roman" w:hAnsi="Times New Roman"/>
                <w:szCs w:val="24"/>
              </w:rPr>
              <w:t>плана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EF19FC" w:rsidRDefault="007876ED" w:rsidP="00F41C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Маркетинговый план торговой марки </w:t>
            </w:r>
            <w:r w:rsidR="00952AC1">
              <w:rPr>
                <w:rFonts w:ascii="Times New Roman" w:hAnsi="Times New Roman"/>
                <w:i/>
                <w:szCs w:val="24"/>
                <w:lang w:val="en-US"/>
              </w:rPr>
              <w:t>DUPLEX</w:t>
            </w:r>
            <w:r w:rsidRPr="007876ED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фирмы Х </w:t>
            </w:r>
            <w:r w:rsidR="00257E35">
              <w:rPr>
                <w:rFonts w:ascii="Times New Roman" w:hAnsi="Times New Roman"/>
                <w:szCs w:val="24"/>
              </w:rPr>
              <w:t>представляет собой стратегию</w:t>
            </w:r>
            <w:r>
              <w:rPr>
                <w:rFonts w:ascii="Times New Roman" w:hAnsi="Times New Roman"/>
                <w:szCs w:val="24"/>
              </w:rPr>
              <w:t xml:space="preserve"> вход</w:t>
            </w:r>
            <w:r w:rsidR="00257E35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на Молдавский рынок </w:t>
            </w:r>
            <w:proofErr w:type="spellStart"/>
            <w:r>
              <w:rPr>
                <w:rFonts w:ascii="Times New Roman" w:hAnsi="Times New Roman"/>
                <w:szCs w:val="24"/>
              </w:rPr>
              <w:t>контрацептивов</w:t>
            </w:r>
            <w:proofErr w:type="spellEnd"/>
            <w:r w:rsidR="00257E35">
              <w:rPr>
                <w:rFonts w:ascii="Times New Roman" w:hAnsi="Times New Roman"/>
                <w:szCs w:val="24"/>
              </w:rPr>
              <w:t xml:space="preserve"> и достижения</w:t>
            </w:r>
            <w:r>
              <w:rPr>
                <w:rFonts w:ascii="Times New Roman" w:hAnsi="Times New Roman"/>
                <w:szCs w:val="24"/>
              </w:rPr>
              <w:t xml:space="preserve"> значительного объема продаж в </w:t>
            </w:r>
            <w:r w:rsidR="00776C25">
              <w:rPr>
                <w:rFonts w:ascii="Times New Roman" w:hAnsi="Times New Roman"/>
                <w:szCs w:val="24"/>
              </w:rPr>
              <w:t xml:space="preserve">размере </w:t>
            </w:r>
            <w:r>
              <w:rPr>
                <w:rFonts w:ascii="Times New Roman" w:hAnsi="Times New Roman"/>
                <w:szCs w:val="24"/>
              </w:rPr>
              <w:t xml:space="preserve">2 млн. упаковок в год. Планируемый показатель </w:t>
            </w:r>
            <w:r w:rsidR="00F41C78">
              <w:rPr>
                <w:rFonts w:ascii="Times New Roman" w:hAnsi="Times New Roman"/>
                <w:szCs w:val="24"/>
              </w:rPr>
              <w:t>реализации продукции</w:t>
            </w:r>
            <w:r>
              <w:rPr>
                <w:rFonts w:ascii="Times New Roman" w:hAnsi="Times New Roman"/>
                <w:szCs w:val="24"/>
              </w:rPr>
              <w:t xml:space="preserve"> составляет </w:t>
            </w:r>
            <w:r w:rsidRPr="007876ED">
              <w:rPr>
                <w:rFonts w:ascii="Times New Roman" w:hAnsi="Times New Roman"/>
                <w:szCs w:val="24"/>
              </w:rPr>
              <w:t xml:space="preserve">$ 2 </w:t>
            </w:r>
            <w:r>
              <w:rPr>
                <w:rFonts w:ascii="Times New Roman" w:hAnsi="Times New Roman"/>
                <w:szCs w:val="24"/>
              </w:rPr>
              <w:t>млн.  Средства достижения планируемых показателей – успешная политика ценообразования, принципов распределения продукции</w:t>
            </w:r>
            <w:r w:rsidR="00AE6CC7">
              <w:rPr>
                <w:rFonts w:ascii="Times New Roman" w:hAnsi="Times New Roman"/>
                <w:szCs w:val="24"/>
              </w:rPr>
              <w:t xml:space="preserve"> и совершенно новая концепция рекламно</w:t>
            </w:r>
            <w:r w:rsidR="008B1524">
              <w:rPr>
                <w:rFonts w:ascii="Times New Roman" w:hAnsi="Times New Roman"/>
                <w:szCs w:val="24"/>
              </w:rPr>
              <w:t>й</w:t>
            </w:r>
            <w:r w:rsidR="00AE6CC7">
              <w:rPr>
                <w:rFonts w:ascii="Times New Roman" w:hAnsi="Times New Roman"/>
                <w:szCs w:val="24"/>
              </w:rPr>
              <w:t xml:space="preserve"> </w:t>
            </w:r>
            <w:r w:rsidR="008B1524">
              <w:rPr>
                <w:rFonts w:ascii="Times New Roman" w:hAnsi="Times New Roman"/>
                <w:szCs w:val="24"/>
              </w:rPr>
              <w:t>кампании, нацеленной на целевые группы потребителей и заключающейся в формировании узнаваемости продвигаемых марок презервативов</w:t>
            </w:r>
            <w:r w:rsidR="00EF19FC">
              <w:rPr>
                <w:rFonts w:ascii="Times New Roman" w:hAnsi="Times New Roman"/>
                <w:szCs w:val="24"/>
              </w:rPr>
              <w:t>, создание, управление, позиционирование и продвижение бренда.</w:t>
            </w:r>
          </w:p>
        </w:tc>
      </w:tr>
      <w:tr w:rsidR="00890706" w:rsidRPr="007876ED" w:rsidTr="00EF19FC">
        <w:trPr>
          <w:trHeight w:hRule="exact" w:val="14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7876ED" w:rsidRDefault="007876ED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890706" w:rsidRDefault="00890706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7876ED" w:rsidRDefault="00890706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0706" w:rsidRPr="007876ED" w:rsidTr="00D22470">
        <w:trPr>
          <w:trHeight w:hRule="exact" w:val="1119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7876ED" w:rsidRDefault="00617FA8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I</w:t>
            </w:r>
            <w:r w:rsidR="00890706" w:rsidRPr="00890706">
              <w:rPr>
                <w:rFonts w:ascii="Times New Roman" w:hAnsi="Times New Roman"/>
                <w:sz w:val="18"/>
                <w:szCs w:val="24"/>
                <w:lang w:val="en-US"/>
              </w:rPr>
              <w:t>I</w:t>
            </w:r>
            <w:r w:rsidR="00890706" w:rsidRPr="007876ED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27B" w:rsidRPr="00D2227B" w:rsidRDefault="00AE6CC7" w:rsidP="003A478E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Ситуация на рынке.</w:t>
            </w:r>
            <w:r w:rsidRPr="00F000D0">
              <w:rPr>
                <w:rFonts w:ascii="Times New Roman" w:hAnsi="Times New Roman"/>
                <w:sz w:val="24"/>
                <w:szCs w:val="24"/>
              </w:rPr>
              <w:t xml:space="preserve"> Анализ рынка</w:t>
            </w:r>
            <w:r w:rsidR="00776C25">
              <w:rPr>
                <w:rFonts w:ascii="Times New Roman" w:hAnsi="Times New Roman"/>
                <w:sz w:val="24"/>
                <w:szCs w:val="24"/>
              </w:rPr>
              <w:t>.</w:t>
            </w:r>
            <w:r w:rsidR="00D22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78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A478E">
              <w:rPr>
                <w:rFonts w:ascii="Times New Roman" w:hAnsi="Times New Roman"/>
                <w:szCs w:val="24"/>
              </w:rPr>
              <w:t xml:space="preserve">Состояние макросреды.     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8E" w:rsidRDefault="00803BD8" w:rsidP="003D285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Рынок презервативов РМ является достаточно активным с годовым объемом продаж в 8 млн. ед. изделий в год, </w:t>
            </w:r>
            <w:r w:rsidR="00E95C0C">
              <w:rPr>
                <w:rFonts w:ascii="Times New Roman" w:hAnsi="Times New Roman"/>
                <w:szCs w:val="24"/>
              </w:rPr>
              <w:t xml:space="preserve">при общей численности населения в 3572,7 тыс. человек (данные 2008 г.). </w:t>
            </w:r>
            <w:r w:rsidR="002D1C78">
              <w:rPr>
                <w:rFonts w:ascii="Times New Roman" w:hAnsi="Times New Roman"/>
                <w:szCs w:val="24"/>
              </w:rPr>
              <w:t xml:space="preserve">Емкость рынка практически равно объему продаж </w:t>
            </w:r>
            <w:proofErr w:type="gramStart"/>
            <w:r w:rsidR="002D1C78" w:rsidRPr="002D1C78">
              <w:rPr>
                <w:rFonts w:ascii="Times New Roman" w:hAnsi="Times New Roman"/>
                <w:i/>
                <w:szCs w:val="24"/>
              </w:rPr>
              <w:t>(</w:t>
            </w:r>
            <w:r w:rsidR="002D1C78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End"/>
            <w:r w:rsidR="002D1C78" w:rsidRPr="002D1C78">
              <w:rPr>
                <w:rFonts w:ascii="Times New Roman" w:hAnsi="Times New Roman"/>
                <w:b/>
                <w:i/>
                <w:szCs w:val="24"/>
                <w:u w:val="single"/>
              </w:rPr>
              <w:t>Объем рынка</w:t>
            </w:r>
            <w:r w:rsidR="002D1C78" w:rsidRPr="002D1C78">
              <w:rPr>
                <w:rFonts w:ascii="Times New Roman" w:hAnsi="Times New Roman"/>
                <w:i/>
                <w:szCs w:val="24"/>
              </w:rPr>
              <w:t xml:space="preserve"> = 924556 (кол-во потребителей данного товара)*8,7 (среднее кол-во потребляемого товара одним потребителем в год)</w:t>
            </w:r>
            <w:r w:rsidR="002D1C78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="002F156E">
              <w:rPr>
                <w:rFonts w:ascii="Times New Roman" w:hAnsi="Times New Roman"/>
                <w:szCs w:val="24"/>
              </w:rPr>
              <w:t>Это то</w:t>
            </w:r>
            <w:proofErr w:type="gramEnd"/>
            <w:r w:rsidR="002F156E">
              <w:rPr>
                <w:rFonts w:ascii="Times New Roman" w:hAnsi="Times New Roman"/>
                <w:szCs w:val="24"/>
              </w:rPr>
              <w:t xml:space="preserve"> реальное количество потребителей, которое фирма Х может выявить, привлечь и удержать с выгодой для себя. Но п</w:t>
            </w:r>
            <w:r w:rsidR="00E95C0C">
              <w:rPr>
                <w:rFonts w:ascii="Times New Roman" w:hAnsi="Times New Roman"/>
                <w:szCs w:val="24"/>
              </w:rPr>
              <w:t xml:space="preserve">ри </w:t>
            </w:r>
            <w:r w:rsidR="002F156E">
              <w:rPr>
                <w:rFonts w:ascii="Times New Roman" w:hAnsi="Times New Roman"/>
                <w:szCs w:val="24"/>
              </w:rPr>
              <w:t xml:space="preserve">всем при этом </w:t>
            </w:r>
            <w:r w:rsidR="00E95C0C">
              <w:rPr>
                <w:rFonts w:ascii="Times New Roman" w:hAnsi="Times New Roman"/>
                <w:szCs w:val="24"/>
              </w:rPr>
              <w:t>наблюдается достаточно серьезный уровень конкуренции</w:t>
            </w:r>
            <w:r w:rsidR="00AB5DEF">
              <w:rPr>
                <w:rFonts w:ascii="Times New Roman" w:hAnsi="Times New Roman"/>
                <w:szCs w:val="24"/>
              </w:rPr>
              <w:t xml:space="preserve"> со стороны ныне существующих прочно устоявшихся  на рынке и в сознаниях потребителей торговых марок, </w:t>
            </w:r>
            <w:r w:rsidR="00257E35">
              <w:rPr>
                <w:rFonts w:ascii="Times New Roman" w:hAnsi="Times New Roman"/>
                <w:szCs w:val="24"/>
              </w:rPr>
              <w:t>таких как,</w:t>
            </w:r>
            <w:r w:rsidR="00AB5DEF">
              <w:rPr>
                <w:rFonts w:ascii="Times New Roman" w:hAnsi="Times New Roman"/>
                <w:szCs w:val="24"/>
              </w:rPr>
              <w:t xml:space="preserve"> например: </w:t>
            </w:r>
            <w:r w:rsidR="00AB5DEF" w:rsidRPr="008135E5">
              <w:rPr>
                <w:rFonts w:ascii="Times New Roman" w:hAnsi="Times New Roman"/>
                <w:i/>
                <w:szCs w:val="24"/>
                <w:lang w:val="en-US"/>
              </w:rPr>
              <w:t>MASCULAN</w:t>
            </w:r>
            <w:r w:rsidR="00AB5DEF" w:rsidRPr="008135E5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AB5DEF" w:rsidRPr="008135E5">
              <w:rPr>
                <w:rFonts w:ascii="Times New Roman" w:hAnsi="Times New Roman"/>
                <w:i/>
                <w:szCs w:val="24"/>
                <w:lang w:val="en-US"/>
              </w:rPr>
              <w:t>INNOTEX</w:t>
            </w:r>
            <w:r w:rsidR="00AB5DEF" w:rsidRPr="008135E5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AB5DEF" w:rsidRPr="008135E5">
              <w:rPr>
                <w:rFonts w:ascii="Times New Roman" w:hAnsi="Times New Roman"/>
                <w:i/>
                <w:szCs w:val="24"/>
                <w:lang w:val="en-US"/>
              </w:rPr>
              <w:t>DUREX</w:t>
            </w:r>
            <w:r w:rsidR="00AB5DEF" w:rsidRPr="008135E5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AB5DEF" w:rsidRPr="008135E5">
              <w:rPr>
                <w:rFonts w:ascii="Times New Roman" w:hAnsi="Times New Roman"/>
                <w:i/>
                <w:szCs w:val="24"/>
                <w:lang w:val="en-US"/>
              </w:rPr>
              <w:t>CONTEX</w:t>
            </w:r>
            <w:r w:rsidR="00AB5DEF" w:rsidRPr="008135E5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AB5DEF" w:rsidRPr="008135E5">
              <w:rPr>
                <w:rFonts w:ascii="Times New Roman" w:hAnsi="Times New Roman"/>
                <w:i/>
                <w:szCs w:val="24"/>
                <w:lang w:val="en-US"/>
              </w:rPr>
              <w:t>LIFE</w:t>
            </w:r>
            <w:r w:rsidR="00AB5DEF" w:rsidRPr="008135E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AB5DEF" w:rsidRPr="008135E5">
              <w:rPr>
                <w:rFonts w:ascii="Times New Roman" w:hAnsi="Times New Roman"/>
                <w:i/>
                <w:szCs w:val="24"/>
                <w:lang w:val="en-US"/>
              </w:rPr>
              <w:t>STYLE</w:t>
            </w:r>
            <w:r w:rsidR="008135E5" w:rsidRPr="008135E5">
              <w:rPr>
                <w:rFonts w:ascii="Times New Roman" w:hAnsi="Times New Roman"/>
                <w:i/>
                <w:szCs w:val="24"/>
                <w:lang w:val="en-US"/>
              </w:rPr>
              <w:t>S</w:t>
            </w:r>
            <w:r w:rsidR="00AB5DEF" w:rsidRPr="00AB5DEF">
              <w:rPr>
                <w:rFonts w:ascii="Times New Roman" w:hAnsi="Times New Roman"/>
                <w:szCs w:val="24"/>
              </w:rPr>
              <w:t xml:space="preserve"> </w:t>
            </w:r>
            <w:r w:rsidR="00AB5DEF">
              <w:rPr>
                <w:rFonts w:ascii="Times New Roman" w:hAnsi="Times New Roman"/>
                <w:szCs w:val="24"/>
              </w:rPr>
              <w:t>и др.</w:t>
            </w:r>
            <w:r w:rsidR="00257E35">
              <w:rPr>
                <w:rFonts w:ascii="Times New Roman" w:hAnsi="Times New Roman"/>
                <w:szCs w:val="24"/>
              </w:rPr>
              <w:t xml:space="preserve"> У каждого конкурента – специфическая стратегия и ниша на рынке</w:t>
            </w:r>
            <w:r w:rsidR="005504F9">
              <w:rPr>
                <w:rFonts w:ascii="Times New Roman" w:hAnsi="Times New Roman"/>
                <w:szCs w:val="24"/>
              </w:rPr>
              <w:t xml:space="preserve">. Например, </w:t>
            </w:r>
            <w:r w:rsidR="005504F9" w:rsidRPr="005504F9">
              <w:rPr>
                <w:rFonts w:ascii="Times New Roman" w:hAnsi="Times New Roman"/>
                <w:i/>
                <w:szCs w:val="24"/>
                <w:lang w:val="en-US"/>
              </w:rPr>
              <w:t>MASCULAN</w:t>
            </w:r>
            <w:r w:rsidR="005504F9" w:rsidRPr="00D3298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5504F9" w:rsidRPr="005504F9">
              <w:rPr>
                <w:rFonts w:ascii="Times New Roman" w:hAnsi="Times New Roman"/>
                <w:szCs w:val="24"/>
              </w:rPr>
              <w:t>пре</w:t>
            </w:r>
            <w:r w:rsidR="005504F9">
              <w:rPr>
                <w:rFonts w:ascii="Times New Roman" w:hAnsi="Times New Roman"/>
                <w:szCs w:val="24"/>
              </w:rPr>
              <w:t xml:space="preserve">длагает </w:t>
            </w:r>
            <w:r w:rsidR="00D32981">
              <w:rPr>
                <w:rFonts w:ascii="Times New Roman" w:hAnsi="Times New Roman"/>
                <w:szCs w:val="24"/>
              </w:rPr>
              <w:t xml:space="preserve">не менее </w:t>
            </w:r>
            <w:r w:rsidR="005504F9">
              <w:rPr>
                <w:rFonts w:ascii="Times New Roman" w:hAnsi="Times New Roman"/>
                <w:szCs w:val="24"/>
              </w:rPr>
              <w:t>10</w:t>
            </w:r>
            <w:r w:rsidR="00D32981">
              <w:rPr>
                <w:rFonts w:ascii="Times New Roman" w:hAnsi="Times New Roman"/>
                <w:szCs w:val="24"/>
              </w:rPr>
              <w:t xml:space="preserve"> видов презервативов разных серий для каждого целевого потребителя в приемлемой для него ценовой категории.</w:t>
            </w:r>
            <w:r w:rsidR="003A478E">
              <w:rPr>
                <w:rFonts w:ascii="Times New Roman" w:hAnsi="Times New Roman"/>
                <w:szCs w:val="24"/>
              </w:rPr>
              <w:t xml:space="preserve">                                                       </w:t>
            </w:r>
            <w:r w:rsidR="00F5720F">
              <w:rPr>
                <w:rFonts w:ascii="Times New Roman" w:hAnsi="Times New Roman"/>
                <w:szCs w:val="24"/>
              </w:rPr>
              <w:t xml:space="preserve">             Сегодня примерно 40 </w:t>
            </w:r>
            <w:r w:rsidR="003A478E">
              <w:rPr>
                <w:rFonts w:ascii="Times New Roman" w:hAnsi="Times New Roman"/>
                <w:szCs w:val="24"/>
              </w:rPr>
              <w:t xml:space="preserve">% населения </w:t>
            </w:r>
            <w:r w:rsidR="00F5720F">
              <w:rPr>
                <w:rFonts w:ascii="Times New Roman" w:hAnsi="Times New Roman"/>
                <w:szCs w:val="24"/>
              </w:rPr>
              <w:t xml:space="preserve">РМ </w:t>
            </w:r>
            <w:r w:rsidR="003A478E">
              <w:rPr>
                <w:rFonts w:ascii="Times New Roman" w:hAnsi="Times New Roman"/>
                <w:szCs w:val="24"/>
              </w:rPr>
              <w:t xml:space="preserve">пользуются различными видами </w:t>
            </w:r>
            <w:proofErr w:type="spellStart"/>
            <w:r w:rsidR="003A478E">
              <w:rPr>
                <w:rFonts w:ascii="Times New Roman" w:hAnsi="Times New Roman"/>
                <w:szCs w:val="24"/>
              </w:rPr>
              <w:t>контрацептивов</w:t>
            </w:r>
            <w:proofErr w:type="spellEnd"/>
            <w:r w:rsidR="003A478E">
              <w:rPr>
                <w:rFonts w:ascii="Times New Roman" w:hAnsi="Times New Roman"/>
                <w:szCs w:val="24"/>
              </w:rPr>
              <w:t xml:space="preserve">, в том числе и презервативами. Опрос населения показывает, что, несмотря на некоторые неудобства его использования, все же большая часть опрошенных предпочитает использование презервативов, как вида </w:t>
            </w:r>
            <w:proofErr w:type="spellStart"/>
            <w:r w:rsidR="003A478E">
              <w:rPr>
                <w:rFonts w:ascii="Times New Roman" w:hAnsi="Times New Roman"/>
                <w:szCs w:val="24"/>
              </w:rPr>
              <w:t>контрацептива</w:t>
            </w:r>
            <w:proofErr w:type="spellEnd"/>
            <w:r w:rsidR="003A478E">
              <w:rPr>
                <w:rFonts w:ascii="Times New Roman" w:hAnsi="Times New Roman"/>
                <w:szCs w:val="24"/>
              </w:rPr>
              <w:t xml:space="preserve">. </w:t>
            </w:r>
            <w:r w:rsidR="0006774E">
              <w:rPr>
                <w:rFonts w:ascii="Times New Roman" w:hAnsi="Times New Roman"/>
                <w:szCs w:val="24"/>
              </w:rPr>
              <w:t xml:space="preserve">Согласно </w:t>
            </w:r>
            <w:r w:rsidR="003D2855">
              <w:rPr>
                <w:rFonts w:ascii="Times New Roman" w:hAnsi="Times New Roman"/>
                <w:szCs w:val="24"/>
              </w:rPr>
              <w:t xml:space="preserve">проведенному исследованию </w:t>
            </w:r>
            <w:proofErr w:type="gramStart"/>
            <w:r w:rsidR="003D2855">
              <w:rPr>
                <w:rFonts w:ascii="Times New Roman" w:hAnsi="Times New Roman"/>
                <w:szCs w:val="24"/>
              </w:rPr>
              <w:t>венгерскими</w:t>
            </w:r>
            <w:proofErr w:type="gramEnd"/>
            <w:r w:rsidR="003D2855">
              <w:rPr>
                <w:rFonts w:ascii="Times New Roman" w:hAnsi="Times New Roman"/>
                <w:szCs w:val="24"/>
              </w:rPr>
              <w:t xml:space="preserve"> ученными,</w:t>
            </w:r>
            <w:r w:rsidR="0006774E">
              <w:rPr>
                <w:rFonts w:ascii="Times New Roman" w:hAnsi="Times New Roman"/>
                <w:szCs w:val="24"/>
              </w:rPr>
              <w:t xml:space="preserve"> 74,3 %</w:t>
            </w:r>
            <w:r w:rsidR="005D586F">
              <w:rPr>
                <w:rFonts w:ascii="Times New Roman" w:hAnsi="Times New Roman"/>
                <w:szCs w:val="24"/>
              </w:rPr>
              <w:t xml:space="preserve"> исследуемых, в среднем возрасте от 16 до 35 лет,</w:t>
            </w:r>
            <w:r w:rsidR="0006774E">
              <w:rPr>
                <w:rFonts w:ascii="Times New Roman" w:hAnsi="Times New Roman"/>
                <w:szCs w:val="24"/>
              </w:rPr>
              <w:t xml:space="preserve"> предпочитают презерватив</w:t>
            </w:r>
            <w:r w:rsidR="005D586F">
              <w:rPr>
                <w:rFonts w:ascii="Times New Roman" w:hAnsi="Times New Roman"/>
                <w:szCs w:val="24"/>
              </w:rPr>
              <w:t>ы</w:t>
            </w:r>
            <w:r w:rsidR="0006774E">
              <w:rPr>
                <w:rFonts w:ascii="Times New Roman" w:hAnsi="Times New Roman"/>
                <w:szCs w:val="24"/>
              </w:rPr>
              <w:t xml:space="preserve"> как средство защиты от</w:t>
            </w:r>
            <w:r w:rsidR="00F5568A">
              <w:rPr>
                <w:rFonts w:ascii="Times New Roman" w:hAnsi="Times New Roman"/>
                <w:szCs w:val="24"/>
              </w:rPr>
              <w:t xml:space="preserve"> ВИЧ-инфекций и преждевременной</w:t>
            </w:r>
            <w:r w:rsidR="0006774E">
              <w:rPr>
                <w:rFonts w:ascii="Times New Roman" w:hAnsi="Times New Roman"/>
                <w:szCs w:val="24"/>
              </w:rPr>
              <w:t xml:space="preserve"> </w:t>
            </w:r>
            <w:r w:rsidR="00F5568A">
              <w:rPr>
                <w:rFonts w:ascii="Times New Roman" w:hAnsi="Times New Roman"/>
                <w:szCs w:val="24"/>
              </w:rPr>
              <w:t>беременности</w:t>
            </w:r>
            <w:r w:rsidR="003D2855">
              <w:rPr>
                <w:rFonts w:ascii="Times New Roman" w:hAnsi="Times New Roman"/>
                <w:szCs w:val="24"/>
              </w:rPr>
              <w:t>.</w:t>
            </w:r>
            <w:r w:rsidR="0006774E">
              <w:rPr>
                <w:rFonts w:ascii="Times New Roman" w:hAnsi="Times New Roman"/>
                <w:szCs w:val="24"/>
              </w:rPr>
              <w:t xml:space="preserve"> </w:t>
            </w:r>
            <w:r w:rsidR="003A478E">
              <w:rPr>
                <w:rFonts w:ascii="Times New Roman" w:hAnsi="Times New Roman"/>
                <w:szCs w:val="24"/>
              </w:rPr>
              <w:t xml:space="preserve">Поскольку данный вид товара представляет собой продукт одноразового использования, в результате не происходит насыщения рынка, </w:t>
            </w:r>
            <w:r w:rsidR="0042384D">
              <w:rPr>
                <w:rFonts w:ascii="Times New Roman" w:hAnsi="Times New Roman"/>
                <w:szCs w:val="24"/>
              </w:rPr>
              <w:t>что в итоге дает возможность</w:t>
            </w:r>
            <w:r w:rsidR="005D586F">
              <w:rPr>
                <w:rFonts w:ascii="Times New Roman" w:hAnsi="Times New Roman"/>
                <w:szCs w:val="24"/>
              </w:rPr>
              <w:t xml:space="preserve"> выхода мар</w:t>
            </w:r>
            <w:r w:rsidR="0042384D">
              <w:rPr>
                <w:rFonts w:ascii="Times New Roman" w:hAnsi="Times New Roman"/>
                <w:szCs w:val="24"/>
              </w:rPr>
              <w:t>к</w:t>
            </w:r>
            <w:r w:rsidR="005D586F">
              <w:rPr>
                <w:rFonts w:ascii="Times New Roman" w:hAnsi="Times New Roman"/>
                <w:szCs w:val="24"/>
              </w:rPr>
              <w:t>и</w:t>
            </w:r>
            <w:r w:rsidR="0042384D">
              <w:rPr>
                <w:rFonts w:ascii="Times New Roman" w:hAnsi="Times New Roman"/>
                <w:szCs w:val="24"/>
              </w:rPr>
              <w:t xml:space="preserve"> </w:t>
            </w:r>
            <w:r w:rsidR="005D586F">
              <w:rPr>
                <w:rFonts w:ascii="Times New Roman" w:hAnsi="Times New Roman"/>
                <w:i/>
                <w:szCs w:val="24"/>
                <w:lang w:val="en-US"/>
              </w:rPr>
              <w:t>DUPLEX</w:t>
            </w:r>
            <w:r w:rsidR="00F3387A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42384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42384D" w:rsidRPr="0042384D">
              <w:rPr>
                <w:rFonts w:ascii="Times New Roman" w:hAnsi="Times New Roman"/>
                <w:szCs w:val="24"/>
              </w:rPr>
              <w:t>в</w:t>
            </w:r>
            <w:r w:rsidR="0042384D">
              <w:rPr>
                <w:rFonts w:ascii="Times New Roman" w:hAnsi="Times New Roman"/>
                <w:szCs w:val="24"/>
              </w:rPr>
              <w:t xml:space="preserve"> обширную оптовую и розничную сеть торговли. </w:t>
            </w:r>
          </w:p>
          <w:p w:rsidR="00EE4711" w:rsidRPr="0042384D" w:rsidRDefault="00EE4711" w:rsidP="003D285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 w:rsidRPr="00EE471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4665289" cy="2228850"/>
                  <wp:effectExtent l="19050" t="0" r="21011" b="0"/>
                  <wp:docPr id="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890706" w:rsidRPr="007876ED" w:rsidTr="00D22470">
        <w:trPr>
          <w:trHeight w:hRule="exact" w:val="439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7876ED" w:rsidRDefault="005A7516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lastRenderedPageBreak/>
              <w:t>III</w:t>
            </w:r>
            <w:r w:rsidR="00890706" w:rsidRPr="007876ED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890706" w:rsidRDefault="003A478E" w:rsidP="003A478E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F000D0">
              <w:rPr>
                <w:rFonts w:ascii="Times New Roman" w:hAnsi="Times New Roman"/>
                <w:sz w:val="24"/>
                <w:szCs w:val="24"/>
              </w:rPr>
              <w:t>Стратегии выхода на рынок</w:t>
            </w:r>
            <w:r>
              <w:rPr>
                <w:rFonts w:ascii="Times New Roman" w:hAnsi="Times New Roman"/>
                <w:sz w:val="24"/>
                <w:szCs w:val="24"/>
              </w:rPr>
              <w:t>. Каналы дистрибуции.</w:t>
            </w:r>
            <w:r>
              <w:rPr>
                <w:rFonts w:ascii="Times New Roman" w:hAnsi="Times New Roman"/>
                <w:szCs w:val="24"/>
              </w:rPr>
              <w:t xml:space="preserve"> Распределение продукции.                     Каналы распределения</w:t>
            </w:r>
            <w:r w:rsidR="000F232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CA1146" w:rsidRDefault="0042384D" w:rsidP="00952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Каналы распределения торговых марок </w:t>
            </w:r>
            <w:r w:rsidR="00952AC1" w:rsidRPr="00952AC1">
              <w:rPr>
                <w:rFonts w:ascii="Times New Roman" w:hAnsi="Times New Roman"/>
                <w:i/>
                <w:szCs w:val="24"/>
                <w:lang w:val="en-US"/>
              </w:rPr>
              <w:t>DUPLEX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представляют собой торговую сеть мага</w:t>
            </w:r>
            <w:r w:rsidR="00F41C78">
              <w:rPr>
                <w:rFonts w:ascii="Times New Roman" w:hAnsi="Times New Roman"/>
                <w:szCs w:val="24"/>
              </w:rPr>
              <w:t>зинов, супермаркетов и аптек РМ, киосков, ларьков АПК «Ветеран» и «</w:t>
            </w:r>
            <w:proofErr w:type="spellStart"/>
            <w:r w:rsidR="00F41C78">
              <w:rPr>
                <w:rFonts w:ascii="Times New Roman" w:hAnsi="Times New Roman"/>
                <w:szCs w:val="24"/>
                <w:lang w:val="en-US"/>
              </w:rPr>
              <w:t>Moldpressa</w:t>
            </w:r>
            <w:proofErr w:type="spellEnd"/>
            <w:r w:rsidR="00F41C78">
              <w:rPr>
                <w:rFonts w:ascii="Times New Roman" w:hAnsi="Times New Roman"/>
                <w:szCs w:val="24"/>
              </w:rPr>
              <w:t>».</w:t>
            </w:r>
            <w:r>
              <w:rPr>
                <w:rFonts w:ascii="Times New Roman" w:hAnsi="Times New Roman"/>
                <w:szCs w:val="24"/>
              </w:rPr>
              <w:t xml:space="preserve"> Оптовая скидка компании Х должна составлять не менее 20%, что соответствует скидкам конкурентов.</w:t>
            </w:r>
            <w:r w:rsidR="00CA1146">
              <w:rPr>
                <w:rFonts w:ascii="Times New Roman" w:hAnsi="Times New Roman"/>
                <w:szCs w:val="24"/>
              </w:rPr>
              <w:t xml:space="preserve"> </w:t>
            </w:r>
            <w:r w:rsidR="00023AE3" w:rsidRPr="00023AE3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="00CA1146">
              <w:rPr>
                <w:rFonts w:ascii="Times New Roman" w:hAnsi="Times New Roman"/>
                <w:szCs w:val="24"/>
              </w:rPr>
              <w:t>Стратегия выхода</w:t>
            </w:r>
            <w:r w:rsidR="00EE4711">
              <w:rPr>
                <w:rFonts w:ascii="Times New Roman" w:hAnsi="Times New Roman"/>
                <w:szCs w:val="24"/>
              </w:rPr>
              <w:t xml:space="preserve"> на рынок и продвижение торговой мар</w:t>
            </w:r>
            <w:r w:rsidR="00CA1146">
              <w:rPr>
                <w:rFonts w:ascii="Times New Roman" w:hAnsi="Times New Roman"/>
                <w:szCs w:val="24"/>
              </w:rPr>
              <w:t>к</w:t>
            </w:r>
            <w:r w:rsidR="00EE4711">
              <w:rPr>
                <w:rFonts w:ascii="Times New Roman" w:hAnsi="Times New Roman"/>
                <w:szCs w:val="24"/>
              </w:rPr>
              <w:t>и</w:t>
            </w:r>
            <w:r w:rsidR="00CA1146">
              <w:rPr>
                <w:rFonts w:ascii="Times New Roman" w:hAnsi="Times New Roman"/>
                <w:szCs w:val="24"/>
              </w:rPr>
              <w:t xml:space="preserve"> </w:t>
            </w:r>
            <w:r w:rsidR="00952AC1" w:rsidRPr="00952AC1">
              <w:rPr>
                <w:rFonts w:ascii="Times New Roman" w:hAnsi="Times New Roman"/>
                <w:i/>
                <w:szCs w:val="24"/>
                <w:lang w:val="en-US"/>
              </w:rPr>
              <w:t>DUPLEX</w:t>
            </w:r>
            <w:r w:rsidR="00952AC1" w:rsidRPr="00CA1146">
              <w:rPr>
                <w:rFonts w:ascii="Times New Roman" w:hAnsi="Times New Roman"/>
                <w:szCs w:val="24"/>
              </w:rPr>
              <w:t xml:space="preserve"> </w:t>
            </w:r>
            <w:r w:rsidR="00CA1146" w:rsidRPr="00CA1146">
              <w:rPr>
                <w:rFonts w:ascii="Times New Roman" w:hAnsi="Times New Roman"/>
                <w:szCs w:val="24"/>
              </w:rPr>
              <w:t>представляет собой комплекс</w:t>
            </w:r>
            <w:r w:rsidR="00CA1146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CA1146">
              <w:rPr>
                <w:rFonts w:ascii="Times New Roman" w:hAnsi="Times New Roman"/>
                <w:szCs w:val="24"/>
              </w:rPr>
              <w:t xml:space="preserve">маркетинговых мероприятий, таких как - </w:t>
            </w:r>
            <w:r w:rsidR="00CA1146" w:rsidRPr="00F000D0">
              <w:rPr>
                <w:rFonts w:ascii="Times New Roman" w:hAnsi="Times New Roman"/>
                <w:sz w:val="24"/>
                <w:szCs w:val="24"/>
              </w:rPr>
              <w:t>поиск клиентов, оценка клиентов, разработка предложения, помощь в принятии решения, обеспечение повторной сделки. Каждый шаг подразумевает выполнение нескольких ключевых действий, которые имеют предсказуемые и измеримые результаты.</w:t>
            </w:r>
            <w:r w:rsidR="00CA1146">
              <w:rPr>
                <w:rFonts w:ascii="Times New Roman" w:hAnsi="Times New Roman"/>
                <w:sz w:val="24"/>
                <w:szCs w:val="24"/>
              </w:rPr>
              <w:t xml:space="preserve"> Данные процедуры помогу</w:t>
            </w:r>
            <w:r w:rsidR="00CA1146" w:rsidRPr="00F000D0">
              <w:rPr>
                <w:rFonts w:ascii="Times New Roman" w:hAnsi="Times New Roman"/>
                <w:sz w:val="24"/>
                <w:szCs w:val="24"/>
              </w:rPr>
              <w:t>т професс</w:t>
            </w:r>
            <w:r w:rsidR="00CA1146">
              <w:rPr>
                <w:rFonts w:ascii="Times New Roman" w:hAnsi="Times New Roman"/>
                <w:sz w:val="24"/>
                <w:szCs w:val="24"/>
              </w:rPr>
              <w:t>иональным продавцам, обеспечить</w:t>
            </w:r>
            <w:r w:rsidR="00CA1146" w:rsidRPr="00F000D0">
              <w:rPr>
                <w:rFonts w:ascii="Times New Roman" w:hAnsi="Times New Roman"/>
                <w:sz w:val="24"/>
                <w:szCs w:val="24"/>
              </w:rPr>
              <w:t>:</w:t>
            </w:r>
            <w:r w:rsidR="00CA1146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r w:rsidR="00CA1146" w:rsidRPr="00F000D0">
              <w:rPr>
                <w:rFonts w:ascii="Times New Roman" w:hAnsi="Times New Roman"/>
                <w:sz w:val="24"/>
                <w:szCs w:val="24"/>
              </w:rPr>
              <w:t>фокусировку внимания на важнейших деловых аспектах во время общения с клиентами;</w:t>
            </w:r>
            <w:r w:rsidR="00CA1146"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r w:rsidR="00CA1146" w:rsidRPr="00F000D0">
              <w:rPr>
                <w:rFonts w:ascii="Times New Roman" w:hAnsi="Times New Roman"/>
                <w:sz w:val="24"/>
                <w:szCs w:val="24"/>
              </w:rPr>
              <w:t>развитие возможностей, потенциально необходимых покупателям;</w:t>
            </w:r>
            <w:r w:rsidR="00CA1146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CA1146" w:rsidRPr="00F000D0">
              <w:rPr>
                <w:rFonts w:ascii="Times New Roman" w:hAnsi="Times New Roman"/>
                <w:sz w:val="24"/>
                <w:szCs w:val="24"/>
              </w:rPr>
              <w:t>формирование у клиента острого желания п</w:t>
            </w:r>
            <w:r w:rsidR="004A0503">
              <w:rPr>
                <w:rFonts w:ascii="Times New Roman" w:hAnsi="Times New Roman"/>
                <w:sz w:val="24"/>
                <w:szCs w:val="24"/>
              </w:rPr>
              <w:t>риобретать продукты</w:t>
            </w:r>
            <w:r w:rsidR="005F506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CA1146" w:rsidRPr="00F000D0">
              <w:rPr>
                <w:rFonts w:ascii="Times New Roman" w:hAnsi="Times New Roman"/>
                <w:sz w:val="24"/>
                <w:szCs w:val="24"/>
              </w:rPr>
              <w:t>ашей компании.</w:t>
            </w:r>
          </w:p>
        </w:tc>
      </w:tr>
      <w:tr w:rsidR="00890706" w:rsidRPr="007876ED" w:rsidTr="00D22470">
        <w:trPr>
          <w:trHeight w:hRule="exact" w:val="328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7876ED" w:rsidRDefault="005A7516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I</w:t>
            </w:r>
            <w:r w:rsidR="00890706" w:rsidRPr="00890706">
              <w:rPr>
                <w:rFonts w:ascii="Times New Roman" w:hAnsi="Times New Roman"/>
                <w:sz w:val="18"/>
                <w:szCs w:val="24"/>
                <w:lang w:val="en-US"/>
              </w:rPr>
              <w:t>V</w:t>
            </w:r>
            <w:r w:rsidR="00890706" w:rsidRPr="007876ED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163AFC" w:rsidRDefault="00163AFC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Анализ возможностей и проблем. </w:t>
            </w:r>
            <w:r w:rsidRPr="00F000D0">
              <w:rPr>
                <w:rFonts w:ascii="Times New Roman" w:hAnsi="Times New Roman"/>
                <w:sz w:val="24"/>
                <w:szCs w:val="24"/>
              </w:rPr>
              <w:t>Методы анализа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8E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(сильные и слабые стороны), основные особенности рынка.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5F" w:rsidRDefault="00F54D5F" w:rsidP="004D5B9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Cs w:val="24"/>
              </w:rPr>
            </w:pPr>
            <w:r w:rsidRPr="00F54D5F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-1905</wp:posOffset>
                  </wp:positionV>
                  <wp:extent cx="1924050" cy="1914525"/>
                  <wp:effectExtent l="19050" t="0" r="0" b="0"/>
                  <wp:wrapNone/>
                  <wp:docPr id="4" name="Рисунок 1" descr="C:\Users\Matrix\Desktop\DUPLEX\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rix\Desktop\DUPLEX\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5B91">
              <w:rPr>
                <w:rFonts w:ascii="Times New Roman" w:hAnsi="Times New Roman"/>
                <w:szCs w:val="24"/>
              </w:rPr>
              <w:t>Торговая марка</w:t>
            </w:r>
            <w:r w:rsidR="004D5B91" w:rsidRPr="004D5B9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4D5B91" w:rsidRPr="00952AC1">
              <w:rPr>
                <w:rFonts w:ascii="Times New Roman" w:hAnsi="Times New Roman"/>
                <w:i/>
                <w:szCs w:val="24"/>
                <w:lang w:val="en-US"/>
              </w:rPr>
              <w:t>DUPLEX</w:t>
            </w:r>
            <w:r w:rsidR="004D5B91">
              <w:rPr>
                <w:rFonts w:ascii="Times New Roman" w:hAnsi="Times New Roman"/>
                <w:i/>
                <w:szCs w:val="24"/>
              </w:rPr>
              <w:t xml:space="preserve"> –                                                                                   </w:t>
            </w:r>
            <w:r w:rsidR="004D5B91" w:rsidRPr="004D5B91">
              <w:rPr>
                <w:rFonts w:ascii="Times New Roman" w:hAnsi="Times New Roman"/>
                <w:szCs w:val="24"/>
              </w:rPr>
              <w:t>новая</w:t>
            </w:r>
            <w:r w:rsidR="004D5B91">
              <w:rPr>
                <w:rFonts w:ascii="Times New Roman" w:hAnsi="Times New Roman"/>
                <w:szCs w:val="24"/>
              </w:rPr>
              <w:t xml:space="preserve"> маркетинговая возможность,                                                               другими словами –                                                                                                        область покупательских нужд,                                                удовлетворение которых –                                                                                       основа прибыли компании Х.</w:t>
            </w:r>
            <w:r w:rsidR="004D5B9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4D5B91">
              <w:rPr>
                <w:rFonts w:ascii="Times New Roman" w:hAnsi="Times New Roman"/>
                <w:szCs w:val="24"/>
              </w:rPr>
              <w:t xml:space="preserve"> </w:t>
            </w:r>
          </w:p>
          <w:p w:rsidR="00F54D5F" w:rsidRDefault="00F54D5F" w:rsidP="00F54D5F">
            <w:pPr>
              <w:rPr>
                <w:rFonts w:ascii="Times New Roman" w:hAnsi="Times New Roman"/>
                <w:szCs w:val="24"/>
              </w:rPr>
            </w:pPr>
          </w:p>
          <w:p w:rsidR="00F54D5F" w:rsidRDefault="00F54D5F" w:rsidP="00F54D5F">
            <w:pPr>
              <w:rPr>
                <w:rFonts w:ascii="Times New Roman" w:hAnsi="Times New Roman"/>
                <w:szCs w:val="24"/>
              </w:rPr>
            </w:pPr>
          </w:p>
          <w:p w:rsidR="00890706" w:rsidRPr="00F54D5F" w:rsidRDefault="00F54D5F" w:rsidP="00F54D5F">
            <w:pPr>
              <w:tabs>
                <w:tab w:val="left" w:pos="171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</w:tr>
      <w:tr w:rsidR="00F25DB4" w:rsidRPr="007876ED" w:rsidTr="00D22470">
        <w:trPr>
          <w:trHeight w:hRule="exact" w:val="6919"/>
        </w:trPr>
        <w:tc>
          <w:tcPr>
            <w:tcW w:w="107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263"/>
              <w:gridCol w:w="5263"/>
            </w:tblGrid>
            <w:tr w:rsidR="00F25DB4" w:rsidRPr="00ED1A34" w:rsidTr="00F25DB4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F25DB4" w:rsidRPr="00ED1A34" w:rsidRDefault="00F25DB4" w:rsidP="004066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A34">
                    <w:rPr>
                      <w:rFonts w:ascii="Times New Roman" w:hAnsi="Times New Roman"/>
                      <w:b/>
                      <w:bCs/>
                      <w:sz w:val="20"/>
                    </w:rPr>
                    <w:t>СИЛЬНЫЕ СТОРОНЫ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F25DB4" w:rsidRPr="00ED1A34" w:rsidRDefault="00F25DB4" w:rsidP="004066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A34">
                    <w:rPr>
                      <w:rFonts w:ascii="Times New Roman" w:hAnsi="Times New Roman"/>
                      <w:b/>
                      <w:bCs/>
                      <w:sz w:val="20"/>
                    </w:rPr>
                    <w:t>СЛАБЫЕ СТОРОНЫ</w:t>
                  </w:r>
                </w:p>
              </w:tc>
            </w:tr>
            <w:tr w:rsidR="00F25DB4" w:rsidRPr="00ED1A34" w:rsidTr="00B50DE0">
              <w:trPr>
                <w:trHeight w:val="3134"/>
                <w:tblCellSpacing w:w="7" w:type="dxa"/>
              </w:trPr>
              <w:tc>
                <w:tcPr>
                  <w:tcW w:w="2500" w:type="pct"/>
                  <w:hideMark/>
                </w:tcPr>
                <w:p w:rsidR="00F25DB4" w:rsidRPr="00C03D06" w:rsidRDefault="00197967" w:rsidP="0040669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 xml:space="preserve"> Финансовая независимость от банков и кредитных организаций 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  <w:t xml:space="preserve">     низки</w:t>
                  </w:r>
                  <w:r w:rsidR="00C03D06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е затраты на транспортировку </w:t>
                  </w:r>
                </w:p>
                <w:p w:rsidR="00F25DB4" w:rsidRPr="00C03D06" w:rsidRDefault="00197967" w:rsidP="0040669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26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долговременные контракты с производителями продукции</w:t>
                  </w:r>
                  <w:r w:rsidR="00C03D06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F25DB4" w:rsidRPr="00C03D06" w:rsidRDefault="00F25DB4" w:rsidP="0040669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Отсутствие необходимости аренда больших складских площадей 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97967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27" type="#_x0000_t75" alt="expbul3a.gif (272 bytes)" style="width:9pt;height:9pt"/>
                    </w:pic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планирование транспортных маршрутов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97967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28" type="#_x0000_t75" alt="expbul3a.gif (272 bytes)" style="width:9pt;height:9pt"/>
                    </w:pic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относительно низкие отпускные цены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97967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29" type="#_x0000_t75" alt="expbul3a.gif (272 bytes)" style="width:9pt;height:9pt"/>
                    </w:pic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гибкая ценовая политика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97967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30" type="#_x0000_t75" alt="expbul3a.gif (272 bytes)" style="width:9pt;height:9pt"/>
                    </w:pic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возможность заказа по электронной почте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97967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31" type="#_x0000_t75" alt="expbul3a.gif (272 bytes)" style="width:9pt;height:9pt"/>
                    </w:pic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мотивация участников канала сбыта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97967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32" type="#_x0000_t75" alt="expbul3a.gif (272 bytes)" style="width:9pt;height:9pt"/>
                    </w:pic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рост числа постоянных клиентов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97967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33" type="#_x0000_t75" alt="expbul3a.gif (272 bytes)" style="width:9pt;height:9pt"/>
                    </w:pic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гарантия поставок</w:t>
                  </w:r>
                </w:p>
              </w:tc>
              <w:tc>
                <w:tcPr>
                  <w:tcW w:w="2500" w:type="pct"/>
                  <w:hideMark/>
                </w:tcPr>
                <w:p w:rsidR="00F25DB4" w:rsidRPr="00C03D06" w:rsidRDefault="00C03D06" w:rsidP="00C03D0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низкая рыночная доля</w:t>
                  </w:r>
                </w:p>
                <w:p w:rsidR="00C03D06" w:rsidRPr="00C03D06" w:rsidRDefault="00C03D06" w:rsidP="00EF19F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ограниченный ассортимент товара</w:t>
                  </w:r>
                </w:p>
                <w:p w:rsidR="00F25DB4" w:rsidRPr="00C03D06" w:rsidRDefault="00C03D06" w:rsidP="00EF19F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отсутствие квалифицированного персонала (менеджеров)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B50DE0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низкая репутация  качества выпускаемой продукции страны-производителя</w:t>
                  </w:r>
                </w:p>
                <w:p w:rsidR="00F25DB4" w:rsidRPr="00C03D06" w:rsidRDefault="00C03D06" w:rsidP="00EF19F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большой радиус обслуживания  </w:t>
                  </w:r>
                  <w:proofErr w:type="gramStart"/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вся Молдова)</w:t>
                  </w:r>
                </w:p>
                <w:p w:rsidR="00C03D06" w:rsidRPr="00C03D06" w:rsidRDefault="00C03D06" w:rsidP="00C03D0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низкий уровень системы управления товарными запасами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недостаточно развитая система маркетинговой информации</w:t>
                  </w:r>
                </w:p>
                <w:p w:rsidR="00C03D06" w:rsidRDefault="00C03D06" w:rsidP="00C03D0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затратный принцип ценообразования</w:t>
                  </w:r>
                </w:p>
                <w:p w:rsidR="00F25DB4" w:rsidRPr="00C03D06" w:rsidRDefault="00C03D06" w:rsidP="00C03D0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US"/>
                    </w:rPr>
                    <w:t>-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недостаточно эффективная работа с клиентами</w:t>
                  </w:r>
                </w:p>
              </w:tc>
            </w:tr>
            <w:tr w:rsidR="00F25DB4" w:rsidRPr="00ED1A34" w:rsidTr="00B50DE0">
              <w:trPr>
                <w:trHeight w:val="375"/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F25DB4" w:rsidRPr="00C03D06" w:rsidRDefault="00F25DB4" w:rsidP="00EF19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</w:rPr>
                    <w:t>ВОЗМОЖНОСТИ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F25DB4" w:rsidRPr="00C03D06" w:rsidRDefault="00F25DB4" w:rsidP="00EF19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</w:rPr>
                    <w:t>УГРОЗЫ</w:t>
                  </w:r>
                </w:p>
              </w:tc>
            </w:tr>
            <w:tr w:rsidR="00F25DB4" w:rsidRPr="00ED1A34" w:rsidTr="00B50DE0">
              <w:trPr>
                <w:trHeight w:val="2736"/>
                <w:tblCellSpacing w:w="7" w:type="dxa"/>
              </w:trPr>
              <w:tc>
                <w:tcPr>
                  <w:tcW w:w="2500" w:type="pct"/>
                  <w:hideMark/>
                </w:tcPr>
                <w:p w:rsidR="00F25DB4" w:rsidRPr="00C03D06" w:rsidRDefault="00197967" w:rsidP="0040669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34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минимизация товарных запасов (ассортимента)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35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слабая концентрация оптовых фирм на рынке</w:t>
                  </w:r>
                  <w:r w:rsid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36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интеграционные процессы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37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возрастание роли человеческого фактора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38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организация конкурсов (тендеров) на закупку продукции  за счет бюджетных средств в рамках программы борьбы за "безопасный секс"</w:t>
                  </w:r>
                  <w:proofErr w:type="gramStart"/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proofErr w:type="gramEnd"/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39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proofErr w:type="gramStart"/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азработка систем автоматизированного учета товара (штриховое кодирование)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40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рост числа торговых центров, рынков, аптек, аптечных пунктов и киосков, а так же иных торговых точек как потенциальных дистрибьюторов </w:t>
                  </w:r>
                </w:p>
              </w:tc>
              <w:tc>
                <w:tcPr>
                  <w:tcW w:w="2500" w:type="pct"/>
                  <w:hideMark/>
                </w:tcPr>
                <w:p w:rsidR="00F25DB4" w:rsidRPr="00C03D06" w:rsidRDefault="00197967" w:rsidP="00C03D0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41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нестабильность национальной валюты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42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инфляционные процессы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43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несовершенс</w:t>
                  </w:r>
                  <w:r w:rsid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тво налогового законодательства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44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высокие таможенные пошлины 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45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обострение конкуренции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46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недостаток оборотных средств </w:t>
                  </w:r>
                  <w:proofErr w:type="gramStart"/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</w:t>
                  </w:r>
                  <w:proofErr w:type="gramEnd"/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у</w:t>
                  </w:r>
                  <w:proofErr w:type="gramEnd"/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потенциальных дистрибьюторов (лечебно-профилактических учреждениях)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47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низкая покупательная способность населения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pict>
                      <v:shape id="_x0000_i1048" type="#_x0000_t75" alt="expbul3a.gif (272 bytes)" style="width:9pt;height:9pt"/>
                    </w:pic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 </w:t>
                  </w:r>
                  <w:r w:rsidR="00F25DB4" w:rsidRPr="00C03D0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неплатежеспособность части розничных покупателей</w:t>
                  </w:r>
                </w:p>
              </w:tc>
            </w:tr>
          </w:tbl>
          <w:p w:rsidR="00F25DB4" w:rsidRPr="00F54D5F" w:rsidRDefault="00F25DB4" w:rsidP="00F25DB4">
            <w:pPr>
              <w:spacing w:before="100" w:beforeAutospacing="1" w:after="100" w:afterAutospacing="1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BA5069" w:rsidRPr="007876ED" w:rsidTr="00F77F44">
        <w:trPr>
          <w:trHeight w:hRule="exact" w:val="56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0706" w:rsidRPr="007876ED" w:rsidRDefault="005A7516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lastRenderedPageBreak/>
              <w:t>V</w:t>
            </w:r>
            <w:r w:rsidR="00890706" w:rsidRPr="007876ED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06" w:rsidRPr="007876ED" w:rsidRDefault="00AB7191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Цели и задачи.</w:t>
            </w:r>
          </w:p>
        </w:tc>
        <w:tc>
          <w:tcPr>
            <w:tcW w:w="8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63" w:rsidRDefault="00AB7191" w:rsidP="00030D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Фирмой Х должны быть поставлены следующие цели и задачи:               </w:t>
            </w:r>
            <w:r w:rsidR="00F50C0C"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="002706CA">
              <w:rPr>
                <w:rFonts w:ascii="Times New Roman" w:hAnsi="Times New Roman"/>
                <w:szCs w:val="24"/>
              </w:rPr>
              <w:t xml:space="preserve">       1) </w:t>
            </w:r>
            <w:r>
              <w:rPr>
                <w:rFonts w:ascii="Times New Roman" w:hAnsi="Times New Roman"/>
                <w:szCs w:val="24"/>
              </w:rPr>
              <w:t xml:space="preserve">Финансовые цели – менеджмент компании стремится к высокой финансовой эффективности каждой СБЕ </w:t>
            </w:r>
            <w:r w:rsidRPr="00AB7191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AB7191">
              <w:rPr>
                <w:rFonts w:ascii="Times New Roman" w:hAnsi="Times New Roman"/>
                <w:i/>
                <w:iCs/>
              </w:rPr>
              <w:t>Стратегическая</w:t>
            </w:r>
            <w:proofErr w:type="gramEnd"/>
            <w:r w:rsidRPr="00AB7191">
              <w:rPr>
                <w:rFonts w:ascii="Times New Roman" w:hAnsi="Times New Roman"/>
                <w:i/>
                <w:iCs/>
              </w:rPr>
              <w:t xml:space="preserve"> бизнес-единица)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="00884563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Менеджеры по </w:t>
            </w:r>
            <w:r w:rsidR="00952AC1">
              <w:rPr>
                <w:rFonts w:ascii="Times New Roman" w:hAnsi="Times New Roman"/>
                <w:iCs/>
              </w:rPr>
              <w:t xml:space="preserve">продукции ставят перед торговой </w:t>
            </w:r>
            <w:r>
              <w:rPr>
                <w:rFonts w:ascii="Times New Roman" w:hAnsi="Times New Roman"/>
                <w:iCs/>
              </w:rPr>
              <w:t xml:space="preserve"> ма</w:t>
            </w:r>
            <w:r w:rsidR="00952AC1">
              <w:rPr>
                <w:rFonts w:ascii="Times New Roman" w:hAnsi="Times New Roman"/>
                <w:iCs/>
              </w:rPr>
              <w:t>ркой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952AC1" w:rsidRPr="00952AC1">
              <w:rPr>
                <w:rFonts w:ascii="Times New Roman" w:hAnsi="Times New Roman"/>
                <w:i/>
                <w:szCs w:val="24"/>
                <w:lang w:val="en-US"/>
              </w:rPr>
              <w:t>DUPLEX</w:t>
            </w:r>
            <w:r w:rsidR="00952AC1">
              <w:rPr>
                <w:rFonts w:ascii="Times New Roman" w:hAnsi="Times New Roman"/>
                <w:szCs w:val="24"/>
              </w:rPr>
              <w:t xml:space="preserve"> </w:t>
            </w:r>
            <w:r w:rsidR="00884563">
              <w:rPr>
                <w:rFonts w:ascii="Times New Roman" w:hAnsi="Times New Roman"/>
                <w:szCs w:val="24"/>
              </w:rPr>
              <w:t>следующие финансовые цели:  чистая операционная прибыл</w:t>
            </w:r>
            <w:r w:rsidR="00F41C78">
              <w:rPr>
                <w:rFonts w:ascii="Times New Roman" w:hAnsi="Times New Roman"/>
                <w:szCs w:val="24"/>
              </w:rPr>
              <w:t xml:space="preserve">ь в 2010 г. должна составить $ </w:t>
            </w:r>
            <w:r w:rsidR="00884563" w:rsidRPr="00884563">
              <w:rPr>
                <w:rFonts w:ascii="Times New Roman" w:hAnsi="Times New Roman"/>
                <w:szCs w:val="24"/>
              </w:rPr>
              <w:t xml:space="preserve"> </w:t>
            </w:r>
            <w:r w:rsidR="00884563">
              <w:rPr>
                <w:rFonts w:ascii="Times New Roman" w:hAnsi="Times New Roman"/>
                <w:szCs w:val="24"/>
              </w:rPr>
              <w:t xml:space="preserve">млн.                                            </w:t>
            </w:r>
            <w:r w:rsidR="00A1690C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884563">
              <w:rPr>
                <w:rFonts w:ascii="Times New Roman" w:hAnsi="Times New Roman"/>
                <w:szCs w:val="24"/>
              </w:rPr>
              <w:t xml:space="preserve">                  </w:t>
            </w:r>
            <w:r w:rsidR="00A1690C">
              <w:rPr>
                <w:rFonts w:ascii="Times New Roman" w:hAnsi="Times New Roman"/>
                <w:szCs w:val="24"/>
              </w:rPr>
              <w:t xml:space="preserve">              </w:t>
            </w:r>
            <w:r w:rsidR="00884563">
              <w:rPr>
                <w:rFonts w:ascii="Times New Roman" w:hAnsi="Times New Roman"/>
                <w:szCs w:val="24"/>
              </w:rPr>
              <w:t xml:space="preserve"> 2) Маркетинговые цели –</w:t>
            </w:r>
            <w:r w:rsidR="00B6294D" w:rsidRPr="00B6294D">
              <w:rPr>
                <w:rFonts w:ascii="Times New Roman" w:hAnsi="Times New Roman"/>
                <w:szCs w:val="24"/>
              </w:rPr>
              <w:t xml:space="preserve"> </w:t>
            </w:r>
            <w:r w:rsidR="002706CA">
              <w:rPr>
                <w:rFonts w:ascii="Times New Roman" w:hAnsi="Times New Roman"/>
                <w:szCs w:val="24"/>
              </w:rPr>
              <w:t xml:space="preserve">при помощи успешной политики управления, позиционирования и продвижения бренда, в кратчайшие сроки вывести торговую марку </w:t>
            </w:r>
            <w:r w:rsidR="002706CA" w:rsidRPr="002706CA">
              <w:rPr>
                <w:rFonts w:ascii="Times New Roman" w:hAnsi="Times New Roman"/>
                <w:i/>
                <w:szCs w:val="24"/>
                <w:lang w:val="en-US"/>
              </w:rPr>
              <w:t>DUPLEX</w:t>
            </w:r>
            <w:r w:rsidR="002706CA" w:rsidRPr="002706CA">
              <w:rPr>
                <w:rFonts w:ascii="Times New Roman" w:hAnsi="Times New Roman"/>
                <w:szCs w:val="24"/>
              </w:rPr>
              <w:t xml:space="preserve">  </w:t>
            </w:r>
            <w:r w:rsidR="002706CA">
              <w:rPr>
                <w:rFonts w:ascii="Times New Roman" w:hAnsi="Times New Roman"/>
                <w:szCs w:val="24"/>
              </w:rPr>
              <w:t xml:space="preserve">на уровень </w:t>
            </w:r>
            <w:r w:rsidR="008348A9">
              <w:rPr>
                <w:rFonts w:ascii="Times New Roman" w:hAnsi="Times New Roman"/>
                <w:szCs w:val="24"/>
              </w:rPr>
              <w:t xml:space="preserve">общеизвестного и популярного </w:t>
            </w:r>
            <w:r w:rsidR="00217C45">
              <w:rPr>
                <w:rFonts w:ascii="Times New Roman" w:hAnsi="Times New Roman"/>
                <w:szCs w:val="24"/>
              </w:rPr>
              <w:t>Бренда</w:t>
            </w:r>
            <w:r w:rsidR="002706CA">
              <w:rPr>
                <w:rFonts w:ascii="Times New Roman" w:hAnsi="Times New Roman"/>
                <w:szCs w:val="24"/>
              </w:rPr>
              <w:t>. О</w:t>
            </w:r>
            <w:r w:rsidR="00B6294D">
              <w:rPr>
                <w:rFonts w:ascii="Times New Roman" w:hAnsi="Times New Roman"/>
                <w:szCs w:val="24"/>
              </w:rPr>
              <w:t>бъем продаж</w:t>
            </w:r>
            <w:r w:rsidR="00B6294D" w:rsidRPr="00B6294D">
              <w:rPr>
                <w:rFonts w:ascii="Times New Roman" w:hAnsi="Times New Roman"/>
                <w:szCs w:val="24"/>
              </w:rPr>
              <w:t xml:space="preserve"> </w:t>
            </w:r>
            <w:r w:rsidR="00B6294D">
              <w:rPr>
                <w:rFonts w:ascii="Times New Roman" w:hAnsi="Times New Roman"/>
                <w:szCs w:val="24"/>
              </w:rPr>
              <w:t xml:space="preserve">должен составлять </w:t>
            </w:r>
            <w:r w:rsidR="00B6294D" w:rsidRPr="00B6294D">
              <w:rPr>
                <w:rFonts w:ascii="Times New Roman" w:hAnsi="Times New Roman"/>
                <w:szCs w:val="24"/>
              </w:rPr>
              <w:t xml:space="preserve"> </w:t>
            </w:r>
            <w:r w:rsidR="00884563">
              <w:rPr>
                <w:rFonts w:ascii="Times New Roman" w:hAnsi="Times New Roman"/>
                <w:szCs w:val="24"/>
              </w:rPr>
              <w:t xml:space="preserve">2 </w:t>
            </w:r>
            <w:r w:rsidR="00B6294D">
              <w:rPr>
                <w:rFonts w:ascii="Times New Roman" w:hAnsi="Times New Roman"/>
                <w:szCs w:val="24"/>
              </w:rPr>
              <w:t>млн.</w:t>
            </w:r>
            <w:r w:rsidR="00F41C78">
              <w:rPr>
                <w:rFonts w:ascii="Times New Roman" w:hAnsi="Times New Roman"/>
                <w:szCs w:val="24"/>
              </w:rPr>
              <w:t xml:space="preserve"> ед. продукции в год.</w:t>
            </w:r>
            <w:r w:rsidR="00B6294D" w:rsidRPr="00B6294D">
              <w:rPr>
                <w:rFonts w:ascii="Times New Roman" w:hAnsi="Times New Roman"/>
                <w:szCs w:val="24"/>
              </w:rPr>
              <w:t xml:space="preserve"> </w:t>
            </w:r>
            <w:r w:rsidR="00B6294D">
              <w:rPr>
                <w:rFonts w:ascii="Times New Roman" w:hAnsi="Times New Roman"/>
                <w:szCs w:val="24"/>
              </w:rPr>
              <w:t xml:space="preserve">Если компания устанавливает среднюю цену на продукцию в 12 лей, необходимо реализовать 2 млн. единиц товара. Если ожидается, что </w:t>
            </w:r>
            <w:r w:rsidR="003F731B">
              <w:rPr>
                <w:rFonts w:ascii="Times New Roman" w:hAnsi="Times New Roman"/>
                <w:szCs w:val="24"/>
              </w:rPr>
              <w:t>объем продаж отрасли составит 2 млн. единиц товара, доля рынка компании должна составить 25%.</w:t>
            </w:r>
            <w:r w:rsidR="00884563">
              <w:rPr>
                <w:rFonts w:ascii="Times New Roman" w:hAnsi="Times New Roman"/>
                <w:szCs w:val="24"/>
              </w:rPr>
              <w:t xml:space="preserve"> Чтобы добиться такой доли рынка, компания должна поставить определенные задачи по информированию потребителей, распределению продукции и т.д.</w:t>
            </w:r>
            <w:r w:rsidR="003F731B">
              <w:rPr>
                <w:rFonts w:ascii="Times New Roman" w:hAnsi="Times New Roman"/>
                <w:szCs w:val="24"/>
              </w:rPr>
              <w:t xml:space="preserve"> Таким образом, маркетинговые цели компании состоят в следующем:</w:t>
            </w:r>
          </w:p>
          <w:p w:rsidR="003F731B" w:rsidRDefault="003F731B" w:rsidP="003F731B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2010 г. объем реализации должен составить </w:t>
            </w:r>
            <w:r w:rsidRPr="003F731B">
              <w:rPr>
                <w:rFonts w:ascii="Times New Roman" w:hAnsi="Times New Roman"/>
                <w:szCs w:val="24"/>
              </w:rPr>
              <w:t xml:space="preserve">$ 2 </w:t>
            </w:r>
            <w:r>
              <w:rPr>
                <w:rFonts w:ascii="Times New Roman" w:hAnsi="Times New Roman"/>
                <w:szCs w:val="24"/>
              </w:rPr>
              <w:t>млн. Объем продаж составит 2 млн. едини</w:t>
            </w:r>
            <w:r w:rsidR="00952AC1">
              <w:rPr>
                <w:rFonts w:ascii="Times New Roman" w:hAnsi="Times New Roman"/>
                <w:szCs w:val="24"/>
              </w:rPr>
              <w:t>ц продукции, доля рынка торговой мар</w:t>
            </w:r>
            <w:r>
              <w:rPr>
                <w:rFonts w:ascii="Times New Roman" w:hAnsi="Times New Roman"/>
                <w:szCs w:val="24"/>
              </w:rPr>
              <w:t>к</w:t>
            </w:r>
            <w:r w:rsidR="00952AC1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52AC1">
              <w:rPr>
                <w:rFonts w:ascii="Times New Roman" w:hAnsi="Times New Roman"/>
                <w:i/>
                <w:szCs w:val="24"/>
                <w:lang w:val="en-US"/>
              </w:rPr>
              <w:t>DUPLEX</w:t>
            </w:r>
            <w:r w:rsidR="00952AC1" w:rsidRPr="00952AC1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составит 25%.</w:t>
            </w:r>
          </w:p>
          <w:p w:rsidR="003F731B" w:rsidRDefault="00952AC1" w:rsidP="003F731B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 известности торговой марки</w:t>
            </w:r>
            <w:r w:rsidR="003F731B">
              <w:rPr>
                <w:rFonts w:ascii="Times New Roman" w:hAnsi="Times New Roman"/>
                <w:szCs w:val="24"/>
              </w:rPr>
              <w:t xml:space="preserve"> </w:t>
            </w:r>
            <w:r w:rsidRPr="00952AC1">
              <w:rPr>
                <w:rFonts w:ascii="Times New Roman" w:hAnsi="Times New Roman"/>
                <w:i/>
                <w:szCs w:val="24"/>
                <w:lang w:val="en-US"/>
              </w:rPr>
              <w:t>DUPLEX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F731B">
              <w:rPr>
                <w:rFonts w:ascii="Times New Roman" w:hAnsi="Times New Roman"/>
                <w:szCs w:val="24"/>
              </w:rPr>
              <w:t>должен составлять 15-30% среди численности населения после проведения маркетинговых работ.</w:t>
            </w:r>
          </w:p>
          <w:p w:rsidR="00AB7191" w:rsidRPr="007876ED" w:rsidRDefault="00AB7191" w:rsidP="00D22470">
            <w:pPr>
              <w:pStyle w:val="aa"/>
              <w:spacing w:before="100" w:beforeAutospacing="1" w:after="100" w:afterAutospacing="1"/>
              <w:ind w:left="643"/>
              <w:rPr>
                <w:rFonts w:ascii="Times New Roman" w:hAnsi="Times New Roman"/>
                <w:szCs w:val="24"/>
              </w:rPr>
            </w:pPr>
          </w:p>
        </w:tc>
      </w:tr>
      <w:tr w:rsidR="00030D7A" w:rsidRPr="007876ED" w:rsidTr="00D22470">
        <w:trPr>
          <w:trHeight w:hRule="exact" w:val="1828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D7A" w:rsidRPr="007876ED" w:rsidRDefault="005A7516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VI</w:t>
            </w:r>
            <w:r w:rsidR="00030D7A" w:rsidRPr="007876ED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D7A" w:rsidRPr="007876ED" w:rsidRDefault="00030D7A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Маркетинговая стратегия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D7A" w:rsidRDefault="00030D7A" w:rsidP="008064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Целевой рынок</w:t>
            </w:r>
          </w:p>
          <w:p w:rsidR="00030D7A" w:rsidRDefault="00030D7A" w:rsidP="008064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  <w:p w:rsidR="00030D7A" w:rsidRDefault="00030D7A" w:rsidP="008064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  <w:p w:rsidR="00030D7A" w:rsidRDefault="00030D7A" w:rsidP="0080647F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  <w:p w:rsidR="00030D7A" w:rsidRPr="007876ED" w:rsidRDefault="00030D7A" w:rsidP="0080647F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030D7A" w:rsidRDefault="00030D7A" w:rsidP="00030D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Активные слои населения в возрасте от 16 до 50 лет. Как показывает опрос: женщины, приобретают презервативы реже мужчин всего на 30-35%, поэтому разработка дизайна упаковки, товарного знака, фирменного цвета, конфигурации должны учитывать предпочтения </w:t>
            </w:r>
            <w:r w:rsidR="007D6F86">
              <w:rPr>
                <w:rFonts w:ascii="Times New Roman" w:hAnsi="Times New Roman"/>
                <w:szCs w:val="24"/>
              </w:rPr>
              <w:t>и по</w:t>
            </w:r>
            <w:r w:rsidR="00F31452">
              <w:rPr>
                <w:rFonts w:ascii="Times New Roman" w:hAnsi="Times New Roman"/>
                <w:szCs w:val="24"/>
              </w:rPr>
              <w:t xml:space="preserve">желания </w:t>
            </w:r>
            <w:r>
              <w:rPr>
                <w:rFonts w:ascii="Times New Roman" w:hAnsi="Times New Roman"/>
                <w:szCs w:val="24"/>
              </w:rPr>
              <w:t>женского пола в том числе.</w:t>
            </w:r>
          </w:p>
          <w:p w:rsidR="00030D7A" w:rsidRPr="0080647F" w:rsidRDefault="00030D7A" w:rsidP="0080647F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030D7A" w:rsidRPr="007876ED" w:rsidTr="00D22470">
        <w:trPr>
          <w:trHeight w:hRule="exact" w:val="251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D7A" w:rsidRPr="00952AC1" w:rsidRDefault="00030D7A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0D7A" w:rsidRDefault="00030D7A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D7A" w:rsidRDefault="00030D7A" w:rsidP="008064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Позиционирование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030D7A" w:rsidRPr="00030D7A" w:rsidRDefault="00030D7A" w:rsidP="004F2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Высококачественные презервативы с </w:t>
            </w:r>
            <w:r w:rsidRPr="00077B01">
              <w:rPr>
                <w:rFonts w:ascii="Times New Roman" w:hAnsi="Times New Roman"/>
              </w:rPr>
              <w:t>использованием новейших технологий производства и контролем качества на всех этапах производства. Индивидуальная  упаковка из фольги позволяет</w:t>
            </w:r>
            <w:r w:rsidRPr="0007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D7A">
              <w:rPr>
                <w:rFonts w:ascii="Times New Roman" w:hAnsi="Times New Roman"/>
                <w:sz w:val="24"/>
                <w:szCs w:val="24"/>
              </w:rPr>
              <w:t>в  течение всего срока годности (5 лет) сохранить прочностные и защитные свойства латекса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030D7A">
              <w:rPr>
                <w:rFonts w:ascii="Times New Roman" w:hAnsi="Times New Roman"/>
                <w:sz w:val="24"/>
                <w:szCs w:val="24"/>
              </w:rPr>
              <w:t>азнообразие видов отвечает потребностям прогрессивной молодежи</w:t>
            </w:r>
            <w:r>
              <w:rPr>
                <w:rFonts w:ascii="Times New Roman" w:hAnsi="Times New Roman"/>
                <w:sz w:val="24"/>
                <w:szCs w:val="24"/>
              </w:rPr>
              <w:t>. Ц</w:t>
            </w:r>
            <w:r w:rsidRPr="00030D7A">
              <w:rPr>
                <w:rFonts w:ascii="Times New Roman" w:hAnsi="Times New Roman"/>
                <w:sz w:val="24"/>
                <w:szCs w:val="24"/>
              </w:rPr>
              <w:t>ена, выгодная для покупателя</w:t>
            </w:r>
            <w:r w:rsidR="00077B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30D7A" w:rsidRPr="007876ED" w:rsidTr="00D22470">
        <w:trPr>
          <w:trHeight w:hRule="exact" w:val="580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D7A" w:rsidRPr="00030D7A" w:rsidRDefault="00030D7A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0D7A" w:rsidRDefault="00030D7A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D7A" w:rsidRPr="00077B01" w:rsidRDefault="00030D7A" w:rsidP="00A169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Производство</w:t>
            </w:r>
            <w:r w:rsidR="00A1690C">
              <w:rPr>
                <w:rFonts w:ascii="Times New Roman" w:hAnsi="Times New Roman"/>
                <w:szCs w:val="24"/>
              </w:rPr>
              <w:t xml:space="preserve">,  </w:t>
            </w:r>
            <w:r w:rsidR="00D22470">
              <w:rPr>
                <w:rFonts w:ascii="Times New Roman" w:hAnsi="Times New Roman"/>
                <w:szCs w:val="24"/>
              </w:rPr>
              <w:t xml:space="preserve">   </w:t>
            </w:r>
            <w:r w:rsidR="00A1690C">
              <w:rPr>
                <w:rFonts w:ascii="Times New Roman" w:hAnsi="Times New Roman"/>
                <w:szCs w:val="24"/>
              </w:rPr>
              <w:t xml:space="preserve">    цена</w:t>
            </w:r>
            <w:r w:rsidR="00077B0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1690C">
              <w:rPr>
                <w:rFonts w:ascii="Times New Roman" w:hAnsi="Times New Roman"/>
                <w:szCs w:val="24"/>
              </w:rPr>
              <w:t xml:space="preserve">и                      </w:t>
            </w:r>
            <w:r w:rsidR="00077B01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077B01" w:rsidRPr="00077B01" w:rsidRDefault="00030D7A" w:rsidP="00077B01">
            <w:pPr>
              <w:jc w:val="both"/>
              <w:rPr>
                <w:rFonts w:ascii="Times New Roman" w:hAnsi="Times New Roman"/>
                <w:szCs w:val="20"/>
              </w:rPr>
            </w:pPr>
            <w:r w:rsidRPr="00077B01">
              <w:rPr>
                <w:rFonts w:ascii="Times New Roman" w:hAnsi="Times New Roman"/>
                <w:szCs w:val="24"/>
              </w:rPr>
              <w:t xml:space="preserve">Выпуск  моделей презервативов </w:t>
            </w:r>
            <w:r w:rsidR="008F176D">
              <w:rPr>
                <w:rFonts w:ascii="Times New Roman" w:hAnsi="Times New Roman"/>
                <w:szCs w:val="24"/>
              </w:rPr>
              <w:t>в трех ценовых категориях: 1. Цена равная лидеру по ценовой категории</w:t>
            </w:r>
            <w:r w:rsidR="00F77F44">
              <w:rPr>
                <w:rFonts w:ascii="Times New Roman" w:hAnsi="Times New Roman"/>
                <w:szCs w:val="24"/>
              </w:rPr>
              <w:t xml:space="preserve"> – торговая марка </w:t>
            </w:r>
            <w:r w:rsidR="00F77F44" w:rsidRPr="008F176D">
              <w:rPr>
                <w:rFonts w:ascii="Times New Roman" w:hAnsi="Times New Roman"/>
                <w:i/>
                <w:szCs w:val="24"/>
                <w:lang w:val="en-US"/>
              </w:rPr>
              <w:t>DUREX</w:t>
            </w:r>
            <w:r w:rsidR="00F77F44">
              <w:rPr>
                <w:rFonts w:ascii="Times New Roman" w:hAnsi="Times New Roman"/>
                <w:szCs w:val="24"/>
              </w:rPr>
              <w:t xml:space="preserve">. </w:t>
            </w:r>
            <w:r w:rsidR="00F77F44" w:rsidRPr="008F176D">
              <w:rPr>
                <w:rFonts w:ascii="Times New Roman" w:hAnsi="Times New Roman"/>
                <w:i/>
                <w:szCs w:val="24"/>
                <w:lang w:val="en-US"/>
              </w:rPr>
              <w:t>DUREX</w:t>
            </w:r>
            <w:r w:rsidR="00F77F44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F77F44" w:rsidRPr="00F77F44">
              <w:rPr>
                <w:rFonts w:ascii="Times New Roman" w:hAnsi="Times New Roman"/>
                <w:szCs w:val="24"/>
              </w:rPr>
              <w:t>является лидером</w:t>
            </w:r>
            <w:r w:rsidR="00F77F44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8F176D">
              <w:rPr>
                <w:rFonts w:ascii="Times New Roman" w:hAnsi="Times New Roman"/>
                <w:szCs w:val="24"/>
              </w:rPr>
              <w:t>по про</w:t>
            </w:r>
            <w:r w:rsidR="00F77F44">
              <w:rPr>
                <w:rFonts w:ascii="Times New Roman" w:hAnsi="Times New Roman"/>
                <w:szCs w:val="24"/>
              </w:rPr>
              <w:t>дажам во многих странах, имеющая</w:t>
            </w:r>
            <w:r w:rsidR="008F176D">
              <w:rPr>
                <w:rFonts w:ascii="Times New Roman" w:hAnsi="Times New Roman"/>
                <w:szCs w:val="24"/>
              </w:rPr>
              <w:t xml:space="preserve"> крупные заводы в 8 странах мира, в том числе в Китае и Индии</w:t>
            </w:r>
            <w:r w:rsidR="008F176D" w:rsidRPr="008F176D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="008F176D">
              <w:rPr>
                <w:rFonts w:ascii="Times New Roman" w:hAnsi="Times New Roman"/>
                <w:szCs w:val="24"/>
              </w:rPr>
              <w:t xml:space="preserve">Средняя цена на презервативы </w:t>
            </w:r>
            <w:r w:rsidR="008F176D" w:rsidRPr="008F176D">
              <w:rPr>
                <w:rFonts w:ascii="Times New Roman" w:hAnsi="Times New Roman"/>
                <w:i/>
                <w:szCs w:val="24"/>
                <w:lang w:val="en-US"/>
              </w:rPr>
              <w:t>DUREX</w:t>
            </w:r>
            <w:r w:rsidR="008F176D">
              <w:rPr>
                <w:rFonts w:ascii="Times New Roman" w:hAnsi="Times New Roman"/>
                <w:szCs w:val="24"/>
              </w:rPr>
              <w:t>, установлена в диапазоне от 30 до 40 лей за пачку. Применяю такую стратегию, при успешной ре</w:t>
            </w:r>
            <w:r w:rsidR="00734AF3">
              <w:rPr>
                <w:rFonts w:ascii="Times New Roman" w:hAnsi="Times New Roman"/>
                <w:szCs w:val="24"/>
              </w:rPr>
              <w:t xml:space="preserve">кламной кампании и </w:t>
            </w:r>
            <w:r w:rsidR="008F176D">
              <w:rPr>
                <w:rFonts w:ascii="Times New Roman" w:hAnsi="Times New Roman"/>
                <w:szCs w:val="24"/>
              </w:rPr>
              <w:t xml:space="preserve">политики </w:t>
            </w:r>
            <w:r w:rsidR="00734AF3">
              <w:rPr>
                <w:rFonts w:ascii="Times New Roman" w:hAnsi="Times New Roman"/>
                <w:szCs w:val="24"/>
              </w:rPr>
              <w:t xml:space="preserve">управления брендом </w:t>
            </w:r>
            <w:r w:rsidR="008F176D">
              <w:rPr>
                <w:rFonts w:ascii="Times New Roman" w:hAnsi="Times New Roman"/>
                <w:szCs w:val="24"/>
              </w:rPr>
              <w:t xml:space="preserve">возможно </w:t>
            </w:r>
            <w:r w:rsidR="008D7311" w:rsidRPr="008D7311">
              <w:rPr>
                <w:rFonts w:ascii="Times New Roman" w:hAnsi="Times New Roman"/>
                <w:szCs w:val="24"/>
              </w:rPr>
              <w:t>“</w:t>
            </w:r>
            <w:r w:rsidR="00EE4D0A">
              <w:rPr>
                <w:rFonts w:ascii="Times New Roman" w:hAnsi="Times New Roman"/>
                <w:szCs w:val="24"/>
              </w:rPr>
              <w:t>снятие сливок</w:t>
            </w:r>
            <w:r w:rsidR="008D7311" w:rsidRPr="008D7311">
              <w:rPr>
                <w:rFonts w:ascii="Times New Roman" w:hAnsi="Times New Roman"/>
                <w:szCs w:val="24"/>
              </w:rPr>
              <w:t>”</w:t>
            </w:r>
            <w:r w:rsidR="00A1690C">
              <w:rPr>
                <w:rFonts w:ascii="Times New Roman" w:hAnsi="Times New Roman"/>
                <w:szCs w:val="24"/>
              </w:rPr>
              <w:t>. Но нельзя не исключа</w:t>
            </w:r>
            <w:r w:rsidR="008F176D">
              <w:rPr>
                <w:rFonts w:ascii="Times New Roman" w:hAnsi="Times New Roman"/>
                <w:szCs w:val="24"/>
              </w:rPr>
              <w:t>ть тот факт, что по опросу населения, несмотря на широкую известность данной марки, все же большее число опрошенных</w:t>
            </w:r>
            <w:r w:rsidR="00BA2871">
              <w:rPr>
                <w:rFonts w:ascii="Times New Roman" w:hAnsi="Times New Roman"/>
                <w:szCs w:val="24"/>
              </w:rPr>
              <w:t xml:space="preserve"> решили предпочесть марки более дешевых производителей, не уступающие </w:t>
            </w:r>
            <w:r w:rsidR="00BA2871" w:rsidRPr="00BA2871">
              <w:rPr>
                <w:rFonts w:ascii="Times New Roman" w:hAnsi="Times New Roman"/>
                <w:i/>
                <w:szCs w:val="24"/>
                <w:lang w:val="en-US"/>
              </w:rPr>
              <w:t>DUREX</w:t>
            </w:r>
            <w:r w:rsidR="00BA2871" w:rsidRPr="00BA2871">
              <w:rPr>
                <w:rFonts w:ascii="Times New Roman" w:hAnsi="Times New Roman"/>
                <w:i/>
                <w:szCs w:val="24"/>
              </w:rPr>
              <w:t>’</w:t>
            </w:r>
            <w:r w:rsidR="00BA2871">
              <w:rPr>
                <w:rFonts w:ascii="Times New Roman" w:hAnsi="Times New Roman"/>
                <w:szCs w:val="24"/>
              </w:rPr>
              <w:t>у</w:t>
            </w:r>
            <w:r w:rsidR="008F176D">
              <w:rPr>
                <w:rFonts w:ascii="Times New Roman" w:hAnsi="Times New Roman"/>
                <w:szCs w:val="24"/>
              </w:rPr>
              <w:t xml:space="preserve">   </w:t>
            </w:r>
            <w:r w:rsidR="00BA2871">
              <w:rPr>
                <w:rFonts w:ascii="Times New Roman" w:hAnsi="Times New Roman"/>
                <w:szCs w:val="24"/>
              </w:rPr>
              <w:t>по качеству</w:t>
            </w:r>
            <w:r w:rsidR="00BA2871" w:rsidRPr="00BA2871">
              <w:rPr>
                <w:rFonts w:ascii="Times New Roman" w:hAnsi="Times New Roman"/>
                <w:szCs w:val="24"/>
              </w:rPr>
              <w:t>.</w:t>
            </w:r>
            <w:r w:rsidR="00077B01" w:rsidRPr="00077B01">
              <w:rPr>
                <w:rFonts w:ascii="Times New Roman" w:hAnsi="Times New Roman"/>
                <w:szCs w:val="24"/>
              </w:rPr>
              <w:t xml:space="preserve">                                              </w:t>
            </w:r>
            <w:r w:rsidR="00077B01" w:rsidRPr="00077B01">
              <w:rPr>
                <w:rFonts w:ascii="Times New Roman" w:hAnsi="Times New Roman"/>
                <w:szCs w:val="20"/>
              </w:rPr>
              <w:t>Как показали исследования, на презервативе</w:t>
            </w:r>
            <w:r w:rsidR="00A1690C">
              <w:rPr>
                <w:rFonts w:ascii="Times New Roman" w:hAnsi="Times New Roman"/>
                <w:szCs w:val="20"/>
              </w:rPr>
              <w:t>,</w:t>
            </w:r>
            <w:r w:rsidR="00077B01" w:rsidRPr="00077B01">
              <w:rPr>
                <w:rFonts w:ascii="Times New Roman" w:hAnsi="Times New Roman"/>
                <w:szCs w:val="20"/>
              </w:rPr>
              <w:t xml:space="preserve"> упакованном в виде квадратика</w:t>
            </w:r>
            <w:r w:rsidR="00A1690C">
              <w:rPr>
                <w:rFonts w:ascii="Times New Roman" w:hAnsi="Times New Roman"/>
                <w:szCs w:val="20"/>
              </w:rPr>
              <w:t>,</w:t>
            </w:r>
            <w:r w:rsidR="00077B01" w:rsidRPr="00077B01">
              <w:rPr>
                <w:rFonts w:ascii="Times New Roman" w:hAnsi="Times New Roman"/>
                <w:szCs w:val="20"/>
              </w:rPr>
              <w:t xml:space="preserve"> смазка распределяется более равномерно, а презерватив хранится в своей "естественной" форме, без растяжений и сжатий. Лучи солнца также оказывают негативное воздействие на презерватив, поэтому для</w:t>
            </w:r>
            <w:r w:rsidR="00077B01">
              <w:rPr>
                <w:rFonts w:ascii="Times New Roman" w:hAnsi="Times New Roman"/>
                <w:szCs w:val="20"/>
              </w:rPr>
              <w:t xml:space="preserve"> упаковки презервативов </w:t>
            </w:r>
            <w:r w:rsidR="00077B01" w:rsidRPr="00077B01">
              <w:rPr>
                <w:rFonts w:ascii="Times New Roman" w:hAnsi="Times New Roman"/>
                <w:i/>
                <w:szCs w:val="20"/>
                <w:lang w:val="en-US"/>
              </w:rPr>
              <w:t>DUPLEX</w:t>
            </w:r>
            <w:r w:rsidR="00077B01">
              <w:rPr>
                <w:rFonts w:ascii="Times New Roman" w:hAnsi="Times New Roman"/>
                <w:szCs w:val="20"/>
              </w:rPr>
              <w:t>, нужно использовать алюминиевую</w:t>
            </w:r>
            <w:r w:rsidR="00077B01" w:rsidRPr="00077B01">
              <w:rPr>
                <w:rFonts w:ascii="Times New Roman" w:hAnsi="Times New Roman"/>
                <w:szCs w:val="20"/>
              </w:rPr>
              <w:t xml:space="preserve"> фольг</w:t>
            </w:r>
            <w:r w:rsidR="00077B01">
              <w:rPr>
                <w:rFonts w:ascii="Times New Roman" w:hAnsi="Times New Roman"/>
                <w:szCs w:val="20"/>
              </w:rPr>
              <w:t xml:space="preserve">у. Все презервативы </w:t>
            </w:r>
            <w:r w:rsidR="00077B01" w:rsidRPr="00077B01">
              <w:rPr>
                <w:rFonts w:ascii="Times New Roman" w:hAnsi="Times New Roman"/>
                <w:i/>
                <w:szCs w:val="20"/>
                <w:lang w:val="en-US"/>
              </w:rPr>
              <w:t>DUPLEX</w:t>
            </w:r>
            <w:r w:rsidR="00077B01">
              <w:rPr>
                <w:rFonts w:ascii="Times New Roman" w:hAnsi="Times New Roman"/>
                <w:szCs w:val="20"/>
              </w:rPr>
              <w:t xml:space="preserve"> </w:t>
            </w:r>
            <w:r w:rsidR="00A1690C">
              <w:rPr>
                <w:rFonts w:ascii="Times New Roman" w:hAnsi="Times New Roman"/>
                <w:szCs w:val="20"/>
              </w:rPr>
              <w:t xml:space="preserve">следует </w:t>
            </w:r>
            <w:r w:rsidR="00077B01">
              <w:rPr>
                <w:rFonts w:ascii="Times New Roman" w:hAnsi="Times New Roman"/>
                <w:szCs w:val="20"/>
              </w:rPr>
              <w:t>упаковывать</w:t>
            </w:r>
            <w:r w:rsidR="00077B01" w:rsidRPr="00077B01">
              <w:rPr>
                <w:rFonts w:ascii="Times New Roman" w:hAnsi="Times New Roman"/>
                <w:szCs w:val="20"/>
              </w:rPr>
              <w:t xml:space="preserve"> только в квадратную упаковку из высококачественной алюминиевой фольги. </w:t>
            </w:r>
          </w:p>
          <w:p w:rsidR="00030D7A" w:rsidRDefault="00030D7A" w:rsidP="004F2A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239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Pr="00030D7A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064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Каналы распределения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4F2A3B" w:rsidRDefault="00496053" w:rsidP="0073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 w:rsidRPr="00496053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496053">
              <w:rPr>
                <w:rFonts w:ascii="Times New Roman" w:hAnsi="Times New Roman"/>
                <w:color w:val="000000"/>
                <w:szCs w:val="24"/>
              </w:rPr>
              <w:t>очки рознично - оптовой торговли  (рынки, уличные лотки, киоски, стационарные магазины любого профиля, оптовые базы)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Pr="00496053">
              <w:rPr>
                <w:rFonts w:ascii="Times New Roman" w:hAnsi="Times New Roman"/>
                <w:szCs w:val="24"/>
              </w:rPr>
              <w:t xml:space="preserve">  </w:t>
            </w:r>
            <w:r w:rsidR="00734AF3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</w:t>
            </w:r>
            <w:r w:rsidR="00A1690C" w:rsidRPr="00496053">
              <w:rPr>
                <w:rFonts w:ascii="Times New Roman" w:hAnsi="Times New Roman"/>
                <w:szCs w:val="24"/>
              </w:rPr>
              <w:t xml:space="preserve">Особое внимание </w:t>
            </w:r>
            <w:r w:rsidR="00A1690C" w:rsidRPr="00496053">
              <w:rPr>
                <w:rFonts w:ascii="Times New Roman" w:hAnsi="Times New Roman"/>
                <w:b/>
                <w:szCs w:val="24"/>
              </w:rPr>
              <w:t>супермаркетам</w:t>
            </w:r>
            <w:r w:rsidR="00A1690C" w:rsidRPr="00496053">
              <w:rPr>
                <w:rFonts w:ascii="Times New Roman" w:hAnsi="Times New Roman"/>
                <w:szCs w:val="24"/>
              </w:rPr>
              <w:t xml:space="preserve">, </w:t>
            </w:r>
            <w:r w:rsidR="00A1690C">
              <w:rPr>
                <w:rFonts w:ascii="Times New Roman" w:hAnsi="Times New Roman"/>
                <w:szCs w:val="24"/>
              </w:rPr>
              <w:t>таким</w:t>
            </w:r>
            <w:r w:rsidR="00A1690C" w:rsidRPr="00496053">
              <w:rPr>
                <w:rFonts w:ascii="Times New Roman" w:hAnsi="Times New Roman"/>
                <w:szCs w:val="24"/>
              </w:rPr>
              <w:t xml:space="preserve"> </w:t>
            </w:r>
            <w:r w:rsidR="00A1690C">
              <w:rPr>
                <w:rFonts w:ascii="Times New Roman" w:hAnsi="Times New Roman"/>
                <w:szCs w:val="24"/>
              </w:rPr>
              <w:t>как</w:t>
            </w:r>
            <w:r w:rsidR="00A1690C" w:rsidRPr="00496053">
              <w:rPr>
                <w:rFonts w:ascii="Times New Roman" w:hAnsi="Times New Roman"/>
                <w:szCs w:val="24"/>
              </w:rPr>
              <w:t xml:space="preserve"> </w:t>
            </w:r>
            <w:r w:rsidR="00A1690C">
              <w:rPr>
                <w:rFonts w:ascii="Times New Roman" w:hAnsi="Times New Roman"/>
                <w:i/>
                <w:szCs w:val="24"/>
                <w:lang w:val="en-US"/>
              </w:rPr>
              <w:t>FIDESCO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A1690C">
              <w:rPr>
                <w:rFonts w:ascii="Times New Roman" w:hAnsi="Times New Roman"/>
                <w:i/>
                <w:szCs w:val="24"/>
                <w:lang w:val="en-US"/>
              </w:rPr>
              <w:t>GREEN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A1690C">
              <w:rPr>
                <w:rFonts w:ascii="Times New Roman" w:hAnsi="Times New Roman"/>
                <w:i/>
                <w:szCs w:val="24"/>
                <w:lang w:val="en-US"/>
              </w:rPr>
              <w:t>HILLS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, №1, </w:t>
            </w:r>
            <w:r w:rsidR="00A1690C">
              <w:rPr>
                <w:rFonts w:ascii="Times New Roman" w:hAnsi="Times New Roman"/>
                <w:i/>
                <w:szCs w:val="24"/>
                <w:lang w:val="en-US"/>
              </w:rPr>
              <w:t>LINELLA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A1690C">
              <w:rPr>
                <w:rFonts w:ascii="Times New Roman" w:hAnsi="Times New Roman"/>
                <w:i/>
                <w:szCs w:val="24"/>
                <w:lang w:val="en-US"/>
              </w:rPr>
              <w:t>IMC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A1690C">
              <w:rPr>
                <w:rFonts w:ascii="Times New Roman" w:hAnsi="Times New Roman"/>
                <w:i/>
                <w:szCs w:val="24"/>
                <w:lang w:val="en-US"/>
              </w:rPr>
              <w:t>MARKET</w:t>
            </w:r>
            <w:r w:rsidRPr="00496053">
              <w:rPr>
                <w:rFonts w:ascii="Times New Roman" w:hAnsi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FURSHET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Cs w:val="24"/>
              </w:rPr>
              <w:t xml:space="preserve">    </w:t>
            </w:r>
            <w:r w:rsidR="00734AF3">
              <w:rPr>
                <w:rFonts w:ascii="Times New Roman" w:hAnsi="Times New Roman"/>
                <w:i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  </w:t>
            </w:r>
            <w:r w:rsidRPr="00496053">
              <w:rPr>
                <w:rFonts w:ascii="Times New Roman" w:hAnsi="Times New Roman"/>
                <w:b/>
                <w:szCs w:val="24"/>
              </w:rPr>
              <w:t>Аптечным сетям</w:t>
            </w:r>
            <w:r w:rsidR="00A1690C" w:rsidRPr="00496053">
              <w:rPr>
                <w:rFonts w:ascii="Times New Roman" w:hAnsi="Times New Roman"/>
                <w:b/>
                <w:szCs w:val="24"/>
              </w:rPr>
              <w:t>:</w:t>
            </w:r>
            <w:r w:rsidR="00A1690C" w:rsidRPr="00496053">
              <w:rPr>
                <w:rFonts w:ascii="Times New Roman" w:hAnsi="Times New Roman"/>
                <w:szCs w:val="24"/>
              </w:rPr>
              <w:t xml:space="preserve"> </w:t>
            </w:r>
            <w:r w:rsidR="00A1690C">
              <w:rPr>
                <w:rFonts w:ascii="Times New Roman" w:hAnsi="Times New Roman"/>
                <w:i/>
                <w:szCs w:val="24"/>
                <w:lang w:val="en-US"/>
              </w:rPr>
              <w:t>FELICIA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A1690C">
              <w:rPr>
                <w:rFonts w:ascii="Times New Roman" w:hAnsi="Times New Roman"/>
                <w:i/>
                <w:szCs w:val="24"/>
                <w:lang w:val="en-US"/>
              </w:rPr>
              <w:t>FARMACIA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437297">
              <w:rPr>
                <w:rFonts w:ascii="Times New Roman" w:hAnsi="Times New Roman"/>
                <w:i/>
                <w:szCs w:val="24"/>
                <w:lang w:val="en-US"/>
              </w:rPr>
              <w:t>FAMILIEI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; </w:t>
            </w:r>
            <w:r w:rsidR="00A1690C" w:rsidRPr="00F41C78">
              <w:rPr>
                <w:rFonts w:ascii="Times New Roman" w:hAnsi="Times New Roman"/>
                <w:szCs w:val="24"/>
              </w:rPr>
              <w:t>ларькам</w:t>
            </w:r>
            <w:r w:rsidR="00A1690C" w:rsidRPr="00496053">
              <w:rPr>
                <w:rFonts w:ascii="Times New Roman" w:hAnsi="Times New Roman"/>
                <w:szCs w:val="24"/>
              </w:rPr>
              <w:t xml:space="preserve"> </w:t>
            </w:r>
            <w:r w:rsidR="00A1690C" w:rsidRPr="00F41C78">
              <w:rPr>
                <w:rFonts w:ascii="Times New Roman" w:hAnsi="Times New Roman"/>
                <w:szCs w:val="24"/>
              </w:rPr>
              <w:t>и</w:t>
            </w:r>
            <w:r w:rsidR="00A1690C" w:rsidRPr="00496053">
              <w:rPr>
                <w:rFonts w:ascii="Times New Roman" w:hAnsi="Times New Roman"/>
                <w:szCs w:val="24"/>
              </w:rPr>
              <w:t xml:space="preserve"> </w:t>
            </w:r>
            <w:r w:rsidR="00A1690C" w:rsidRPr="00F41C78">
              <w:rPr>
                <w:rFonts w:ascii="Times New Roman" w:hAnsi="Times New Roman"/>
                <w:szCs w:val="24"/>
              </w:rPr>
              <w:t>киоскам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A1690C">
              <w:rPr>
                <w:rFonts w:ascii="Times New Roman" w:hAnsi="Times New Roman"/>
                <w:i/>
                <w:szCs w:val="24"/>
              </w:rPr>
              <w:t>АПК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A1690C">
              <w:rPr>
                <w:rFonts w:ascii="Times New Roman" w:hAnsi="Times New Roman"/>
                <w:i/>
                <w:szCs w:val="24"/>
              </w:rPr>
              <w:t>ВЕТЕРАН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A1690C">
              <w:rPr>
                <w:rFonts w:ascii="Times New Roman" w:hAnsi="Times New Roman"/>
                <w:i/>
                <w:szCs w:val="24"/>
                <w:lang w:val="en-US"/>
              </w:rPr>
              <w:t>MOLDPRESSA</w:t>
            </w:r>
            <w:r w:rsidR="00A1690C" w:rsidRPr="00496053">
              <w:rPr>
                <w:rFonts w:ascii="Times New Roman" w:hAnsi="Times New Roman"/>
                <w:i/>
                <w:szCs w:val="24"/>
              </w:rPr>
              <w:t xml:space="preserve">.  </w:t>
            </w:r>
            <w:r w:rsidR="00A1690C">
              <w:rPr>
                <w:rFonts w:ascii="Times New Roman" w:hAnsi="Times New Roman"/>
                <w:szCs w:val="24"/>
              </w:rPr>
              <w:t>Установление отношений с универсальными магазинами.</w:t>
            </w:r>
          </w:p>
        </w:tc>
      </w:tr>
      <w:tr w:rsidR="00A1690C" w:rsidRPr="007876ED" w:rsidTr="00D22470">
        <w:trPr>
          <w:trHeight w:hRule="exact" w:val="127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Pr="00030D7A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064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Сбыт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4F2A3B" w:rsidRDefault="00A1690C" w:rsidP="004F2A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Обеспечить долю рынка в 25% и объем продаж в   </w:t>
            </w:r>
            <w:r w:rsidRPr="004F2A3B">
              <w:rPr>
                <w:rFonts w:ascii="Times New Roman" w:hAnsi="Times New Roman"/>
                <w:szCs w:val="24"/>
              </w:rPr>
              <w:t xml:space="preserve"> 2 </w:t>
            </w:r>
            <w:r>
              <w:rPr>
                <w:rFonts w:ascii="Times New Roman" w:hAnsi="Times New Roman"/>
                <w:szCs w:val="24"/>
              </w:rPr>
              <w:t>млн. ед. продукции в год. Внедрить национальную систему бухгалтерского учета.</w:t>
            </w:r>
          </w:p>
        </w:tc>
      </w:tr>
      <w:tr w:rsidR="00A1690C" w:rsidRPr="007876ED" w:rsidTr="00D22470">
        <w:trPr>
          <w:trHeight w:hRule="exact" w:val="70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Pr="00030D7A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064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Обслуживание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Доступное и быстрое.</w:t>
            </w:r>
          </w:p>
        </w:tc>
      </w:tr>
      <w:tr w:rsidR="00A1690C" w:rsidRPr="007876ED" w:rsidTr="00D22470">
        <w:trPr>
          <w:trHeight w:hRule="exact" w:val="340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Pr="00030D7A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064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Реклама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4D5B9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Разработать новую рекламную кампанию в соответствии с позиционированием марки; акцент на доступности в приобретении, надежности и качестве продукта удовлетворяющий спрос молодежи и тинэйджеров.  Отступление от традиционного упаковывания презервативов по 3 штуки в пачке на 4, исходя из названия торговой марки – </w:t>
            </w:r>
            <w:r w:rsidRPr="00077B01">
              <w:rPr>
                <w:rFonts w:ascii="Times New Roman" w:hAnsi="Times New Roman"/>
                <w:i/>
                <w:szCs w:val="20"/>
                <w:lang w:val="en-US"/>
              </w:rPr>
              <w:t>DUPLEX</w:t>
            </w:r>
            <w:r>
              <w:rPr>
                <w:rFonts w:ascii="Times New Roman" w:hAnsi="Times New Roman"/>
                <w:i/>
                <w:szCs w:val="20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применяя </w:t>
            </w:r>
            <w:proofErr w:type="spellStart"/>
            <w:r>
              <w:rPr>
                <w:rFonts w:ascii="Times New Roman" w:hAnsi="Times New Roman"/>
                <w:szCs w:val="20"/>
              </w:rPr>
              <w:t>слоган</w:t>
            </w:r>
            <w:proofErr w:type="spellEnd"/>
            <w:r>
              <w:rPr>
                <w:rFonts w:ascii="Times New Roman" w:hAnsi="Times New Roman"/>
                <w:szCs w:val="20"/>
              </w:rPr>
              <w:t>: «</w:t>
            </w:r>
            <w:r w:rsidRPr="00077B01">
              <w:rPr>
                <w:rFonts w:ascii="Times New Roman" w:hAnsi="Times New Roman"/>
                <w:i/>
                <w:szCs w:val="20"/>
                <w:lang w:val="en-US"/>
              </w:rPr>
              <w:t>DUPLEX</w:t>
            </w:r>
            <w:r>
              <w:rPr>
                <w:rFonts w:ascii="Times New Roman" w:hAnsi="Times New Roman"/>
                <w:i/>
                <w:szCs w:val="20"/>
              </w:rPr>
              <w:t>- С</w:t>
            </w:r>
            <w:r w:rsidR="003C0D7A">
              <w:rPr>
                <w:rFonts w:ascii="Times New Roman" w:hAnsi="Times New Roman"/>
                <w:i/>
                <w:szCs w:val="20"/>
              </w:rPr>
              <w:t xml:space="preserve"> НИМ </w:t>
            </w:r>
            <w:r>
              <w:rPr>
                <w:rFonts w:ascii="Times New Roman" w:hAnsi="Times New Roman"/>
                <w:i/>
                <w:szCs w:val="20"/>
              </w:rPr>
              <w:t xml:space="preserve">ДОЛЬШЕ». </w:t>
            </w:r>
            <w:r>
              <w:rPr>
                <w:rFonts w:ascii="Times New Roman" w:hAnsi="Times New Roman"/>
                <w:szCs w:val="20"/>
              </w:rPr>
              <w:t xml:space="preserve">С помощью данного подхода позиционирования фирма Х нацелится на основных целевых потребителей – лиц от 16 до 35 лет (молодых, динамичных, раскрепощенных и современных). </w:t>
            </w:r>
            <w:r>
              <w:rPr>
                <w:rFonts w:ascii="Times New Roman" w:hAnsi="Times New Roman"/>
                <w:i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0D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1690C" w:rsidRPr="007876ED" w:rsidTr="00D22470">
        <w:trPr>
          <w:trHeight w:hRule="exact" w:val="351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Pr="00030D7A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064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Стимулирование сбыта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Разработать новые методы представления товаров; активное участие в различных программах, таких как, например борьба со </w:t>
            </w:r>
            <w:proofErr w:type="spellStart"/>
            <w:r>
              <w:rPr>
                <w:rFonts w:ascii="Times New Roman" w:hAnsi="Times New Roman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т.д.        </w:t>
            </w:r>
            <w:r w:rsidR="00F31452">
              <w:rPr>
                <w:rFonts w:ascii="Times New Roman" w:hAnsi="Times New Roman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Звонить потребителям, беседовать с ними, наносить визиты, писать тексты рекламных объявлений, составлять предложения, вести переписку по электронной почте, </w:t>
            </w:r>
            <w:proofErr w:type="spellStart"/>
            <w:r>
              <w:rPr>
                <w:rFonts w:ascii="Times New Roman" w:hAnsi="Times New Roman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т.д. </w:t>
            </w:r>
            <w:r w:rsidRPr="005F2F84">
              <w:rPr>
                <w:rFonts w:ascii="Times New Roman" w:hAnsi="Times New Roman"/>
                <w:bCs/>
                <w:szCs w:val="24"/>
              </w:rPr>
              <w:t>Рекламные инструменты: объявления в печатных СМИ (газетах, журналах и т.д.), рассылка брошюр, размещение рекламных объявлений в информационных бюллетенях (общественного транспорта и т.д.)</w:t>
            </w:r>
            <w:r w:rsidRPr="005F2F84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</w:tc>
      </w:tr>
      <w:tr w:rsidR="00A1690C" w:rsidRPr="007876ED" w:rsidTr="00D22470">
        <w:trPr>
          <w:trHeight w:hRule="exact" w:val="201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Pr="00030D7A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064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Исследования и разработки. Маркетинговые исследования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E7382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дизайна торговой марки. Проводить исследования потребительского выбора, постоянно отслеживать действия конкурентов.</w:t>
            </w:r>
          </w:p>
        </w:tc>
      </w:tr>
      <w:tr w:rsidR="00A1690C" w:rsidRPr="007876ED" w:rsidTr="00D22470">
        <w:trPr>
          <w:trHeight w:hRule="exact" w:val="567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V</w:t>
            </w:r>
            <w:r w:rsidRPr="00890706">
              <w:rPr>
                <w:rFonts w:ascii="Times New Roman" w:hAnsi="Times New Roman"/>
                <w:sz w:val="18"/>
                <w:szCs w:val="24"/>
                <w:lang w:val="en-US"/>
              </w:rPr>
              <w:t>II</w:t>
            </w:r>
            <w:r w:rsidRPr="007876ED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90C" w:rsidRPr="00BA5069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Программы действий. Что будет сделано? Когда будет готово?   Кто сделает? Сколько будет стоить?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сентябрь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октябрь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ноябрь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декабрь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9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BA50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5C7942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72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D2247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VIII</w:t>
            </w:r>
            <w:r w:rsidRPr="007876ED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Планируемые прибыли и убытки</w:t>
            </w:r>
          </w:p>
        </w:tc>
        <w:tc>
          <w:tcPr>
            <w:tcW w:w="8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690C" w:rsidRPr="007876ED" w:rsidTr="00D22470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D2247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I</w:t>
            </w:r>
            <w:r w:rsidRPr="00890706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  <w:r w:rsidRPr="007876ED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90C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</w:t>
            </w:r>
          </w:p>
          <w:p w:rsidR="00A1690C" w:rsidRPr="007876ED" w:rsidRDefault="00A1690C" w:rsidP="008907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90C" w:rsidRPr="007876ED" w:rsidRDefault="00A1690C" w:rsidP="008907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C7942" w:rsidRDefault="005C7942" w:rsidP="00EE47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7942" w:rsidRDefault="005C7942" w:rsidP="00EE47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7942" w:rsidRDefault="005C7942" w:rsidP="00EE47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7942" w:rsidRDefault="005C7942" w:rsidP="00EE47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7942" w:rsidRDefault="005C7942" w:rsidP="00EE47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7942" w:rsidRDefault="005C7942" w:rsidP="00EE47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32981" w:rsidRPr="00163AFC" w:rsidRDefault="00D32981" w:rsidP="00EE47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23AE3">
        <w:rPr>
          <w:rFonts w:ascii="Times New Roman" w:hAnsi="Times New Roman"/>
          <w:b/>
          <w:sz w:val="28"/>
          <w:szCs w:val="24"/>
        </w:rPr>
        <w:t>Показатели положения продукта на рынке.</w:t>
      </w:r>
    </w:p>
    <w:p w:rsidR="00023AE3" w:rsidRPr="00163AFC" w:rsidRDefault="00023AE3" w:rsidP="00023A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f3"/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0"/>
        <w:gridCol w:w="1701"/>
        <w:gridCol w:w="709"/>
        <w:gridCol w:w="709"/>
        <w:gridCol w:w="709"/>
        <w:gridCol w:w="708"/>
      </w:tblGrid>
      <w:tr w:rsidR="00D2227B" w:rsidTr="003E3EB6">
        <w:tc>
          <w:tcPr>
            <w:tcW w:w="5670" w:type="dxa"/>
            <w:shd w:val="clear" w:color="auto" w:fill="B2B2B2"/>
          </w:tcPr>
          <w:p w:rsidR="00D32981" w:rsidRDefault="00D32981" w:rsidP="00A109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B2B2B2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709" w:type="dxa"/>
            <w:shd w:val="clear" w:color="auto" w:fill="B2B2B2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shd w:val="clear" w:color="auto" w:fill="B2B2B2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shd w:val="clear" w:color="auto" w:fill="B2B2B2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  <w:shd w:val="clear" w:color="auto" w:fill="B2B2B2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2227B" w:rsidTr="003E3EB6">
        <w:tc>
          <w:tcPr>
            <w:tcW w:w="5670" w:type="dxa"/>
          </w:tcPr>
          <w:p w:rsidR="00D3298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</w:rPr>
            </w:pPr>
            <w:r w:rsidRPr="00D2227B">
              <w:rPr>
                <w:rFonts w:ascii="Times New Roman" w:hAnsi="Times New Roman"/>
                <w:b/>
                <w:sz w:val="20"/>
              </w:rPr>
              <w:t>1.</w:t>
            </w:r>
            <w:r w:rsidR="00D2227B" w:rsidRPr="00D2227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32981" w:rsidRPr="00D2227B">
              <w:rPr>
                <w:rFonts w:ascii="Times New Roman" w:hAnsi="Times New Roman"/>
                <w:b/>
                <w:sz w:val="20"/>
              </w:rPr>
              <w:t>Объем продаж (в тыс. шт.)</w:t>
            </w:r>
          </w:p>
          <w:p w:rsidR="00A10901" w:rsidRPr="00D2227B" w:rsidRDefault="00A10901" w:rsidP="00A109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D3298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</w:rPr>
            </w:pPr>
            <w:r w:rsidRPr="00D2227B">
              <w:rPr>
                <w:rFonts w:ascii="Times New Roman" w:hAnsi="Times New Roman"/>
                <w:b/>
                <w:sz w:val="20"/>
              </w:rPr>
              <w:t>2.</w:t>
            </w:r>
            <w:r w:rsidR="00D32981" w:rsidRPr="00D2227B">
              <w:rPr>
                <w:rFonts w:ascii="Times New Roman" w:hAnsi="Times New Roman"/>
                <w:b/>
                <w:sz w:val="20"/>
              </w:rPr>
              <w:t>Доля рынка компании</w:t>
            </w:r>
          </w:p>
          <w:p w:rsidR="00A1090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D3298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</w:rPr>
            </w:pPr>
            <w:r w:rsidRPr="00D2227B">
              <w:rPr>
                <w:rFonts w:ascii="Times New Roman" w:hAnsi="Times New Roman"/>
                <w:b/>
                <w:sz w:val="20"/>
              </w:rPr>
              <w:t>3.Средняя цена ед.</w:t>
            </w:r>
            <w:r w:rsidR="00D32981" w:rsidRPr="00D2227B">
              <w:rPr>
                <w:rFonts w:ascii="Times New Roman" w:hAnsi="Times New Roman"/>
                <w:b/>
                <w:sz w:val="20"/>
              </w:rPr>
              <w:t xml:space="preserve"> продукции (лей)</w:t>
            </w:r>
          </w:p>
          <w:p w:rsidR="00A1090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D32981" w:rsidRPr="00D2227B" w:rsidRDefault="00A10901" w:rsidP="00C46FD1">
            <w:pPr>
              <w:spacing w:before="100" w:beforeAutospacing="1"/>
              <w:rPr>
                <w:rFonts w:ascii="Times New Roman" w:hAnsi="Times New Roman"/>
                <w:b/>
                <w:sz w:val="20"/>
              </w:rPr>
            </w:pPr>
            <w:r w:rsidRPr="00D2227B">
              <w:rPr>
                <w:rFonts w:ascii="Times New Roman" w:hAnsi="Times New Roman"/>
                <w:b/>
                <w:sz w:val="20"/>
              </w:rPr>
              <w:t>4.Переменные издержки на ед. продукции (лей)</w:t>
            </w:r>
          </w:p>
          <w:p w:rsidR="00A10901" w:rsidRPr="00D2227B" w:rsidRDefault="00A10901" w:rsidP="00C46FD1">
            <w:pPr>
              <w:rPr>
                <w:rFonts w:ascii="Times New Roman" w:hAnsi="Times New Roman"/>
                <w:i/>
                <w:sz w:val="20"/>
              </w:rPr>
            </w:pPr>
            <w:r w:rsidRPr="00D2227B">
              <w:rPr>
                <w:rFonts w:ascii="Times New Roman" w:hAnsi="Times New Roman"/>
                <w:i/>
                <w:sz w:val="20"/>
              </w:rPr>
              <w:t>(</w:t>
            </w:r>
            <w:r w:rsidR="00C46FD1" w:rsidRPr="00D2227B">
              <w:rPr>
                <w:rFonts w:ascii="Times New Roman" w:hAnsi="Times New Roman"/>
                <w:i/>
                <w:sz w:val="20"/>
              </w:rPr>
              <w:t>На</w:t>
            </w:r>
            <w:r w:rsidRPr="00D2227B">
              <w:rPr>
                <w:rFonts w:ascii="Times New Roman" w:hAnsi="Times New Roman"/>
                <w:i/>
                <w:sz w:val="20"/>
              </w:rPr>
              <w:t xml:space="preserve">пример: расходы </w:t>
            </w:r>
            <w:proofErr w:type="gramStart"/>
            <w:r w:rsidRPr="00D2227B">
              <w:rPr>
                <w:rFonts w:ascii="Times New Roman" w:hAnsi="Times New Roman"/>
                <w:i/>
                <w:sz w:val="20"/>
              </w:rPr>
              <w:t>на</w:t>
            </w:r>
            <w:proofErr w:type="gramEnd"/>
            <w:r w:rsidRPr="00D2227B">
              <w:rPr>
                <w:rFonts w:ascii="Times New Roman" w:hAnsi="Times New Roman"/>
                <w:i/>
                <w:sz w:val="20"/>
              </w:rPr>
              <w:t xml:space="preserve"> комплектующ</w:t>
            </w:r>
            <w:r w:rsidR="00D2227B" w:rsidRPr="00D2227B">
              <w:rPr>
                <w:rFonts w:ascii="Times New Roman" w:hAnsi="Times New Roman"/>
                <w:i/>
                <w:sz w:val="20"/>
              </w:rPr>
              <w:t>ие, рабочая сила, электроэнергия)</w:t>
            </w:r>
          </w:p>
          <w:p w:rsidR="00A10901" w:rsidRPr="00D2227B" w:rsidRDefault="00A10901" w:rsidP="00C46FD1">
            <w:pPr>
              <w:spacing w:before="100" w:before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A10901" w:rsidRPr="00D2227B" w:rsidRDefault="00A10901" w:rsidP="00D2227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5.</w:t>
            </w:r>
            <w:r w:rsidR="0077000B" w:rsidRPr="00D2227B">
              <w:rPr>
                <w:rFonts w:ascii="Times New Roman" w:hAnsi="Times New Roman"/>
                <w:b/>
                <w:sz w:val="20"/>
                <w:szCs w:val="24"/>
              </w:rPr>
              <w:t>Маржа прибыли/</w:t>
            </w: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Валовая прибыль на ед</w:t>
            </w:r>
            <w:proofErr w:type="gramStart"/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.п</w:t>
            </w:r>
            <w:proofErr w:type="gramEnd"/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родукции (лей)</w:t>
            </w:r>
          </w:p>
          <w:p w:rsidR="00D2227B" w:rsidRPr="00D2227B" w:rsidRDefault="00D2227B" w:rsidP="00D2227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981" w:rsidRDefault="00D2227B" w:rsidP="00D222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D32981" w:rsidRDefault="00A10901" w:rsidP="00D2227B">
            <w:pPr>
              <w:spacing w:before="100" w:beforeAutospacing="1"/>
              <w:rPr>
                <w:rFonts w:ascii="Times New Roman" w:hAnsi="Times New Roman"/>
                <w:b/>
                <w:sz w:val="20"/>
                <w:szCs w:val="24"/>
              </w:rPr>
            </w:pP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6.Объем продаж компании (в тыс. шт.)</w:t>
            </w:r>
          </w:p>
          <w:p w:rsidR="00A10901" w:rsidRDefault="00D2227B" w:rsidP="00D2227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D2227B">
              <w:rPr>
                <w:rFonts w:ascii="Times New Roman" w:hAnsi="Times New Roman"/>
                <w:i/>
                <w:sz w:val="20"/>
                <w:szCs w:val="24"/>
              </w:rPr>
              <w:t>В натуральных показателях</w:t>
            </w:r>
          </w:p>
          <w:p w:rsidR="00D2227B" w:rsidRPr="00D2227B" w:rsidRDefault="00D2227B" w:rsidP="00D2227B">
            <w:pPr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981" w:rsidRDefault="00D2227B" w:rsidP="00D222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(1х2)</w:t>
            </w: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D32981" w:rsidRDefault="00A10901" w:rsidP="00D2227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7.Объем реализации (в тыс. лей)</w:t>
            </w:r>
          </w:p>
          <w:p w:rsidR="00D2227B" w:rsidRDefault="00D2227B" w:rsidP="00D2227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D2227B">
              <w:rPr>
                <w:rFonts w:ascii="Times New Roman" w:hAnsi="Times New Roman"/>
                <w:i/>
                <w:sz w:val="20"/>
                <w:szCs w:val="24"/>
              </w:rPr>
              <w:t>В стоимостных показателях</w:t>
            </w:r>
          </w:p>
          <w:p w:rsidR="00D2227B" w:rsidRPr="00D2227B" w:rsidRDefault="00D2227B" w:rsidP="00D2227B">
            <w:pPr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981" w:rsidRDefault="00D2227B" w:rsidP="00D222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(3х6)</w:t>
            </w: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rPr>
          <w:trHeight w:val="634"/>
        </w:trPr>
        <w:tc>
          <w:tcPr>
            <w:tcW w:w="5670" w:type="dxa"/>
          </w:tcPr>
          <w:p w:rsidR="00D32981" w:rsidRDefault="00A10901" w:rsidP="00D2227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8.Валовая прибыль (в тыс. лей)</w:t>
            </w:r>
          </w:p>
          <w:p w:rsidR="00D2227B" w:rsidRPr="00D2227B" w:rsidRDefault="00D2227B" w:rsidP="00D2227B">
            <w:pPr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981" w:rsidRDefault="00D2227B" w:rsidP="00D222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(5х6)</w:t>
            </w: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D3298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9.Накладные расходы (в тыс. лей)</w:t>
            </w:r>
          </w:p>
          <w:p w:rsidR="00A1090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981" w:rsidRDefault="00D32981" w:rsidP="00D222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A1090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10.Чистая прибыль (в тыс. лей)</w:t>
            </w:r>
          </w:p>
          <w:p w:rsidR="00D32981" w:rsidRPr="00D2227B" w:rsidRDefault="00D3298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981" w:rsidRDefault="00D2227B" w:rsidP="00D222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(8-9)</w:t>
            </w: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A1090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11.Расходы на рекламу (в тыс. лей)</w:t>
            </w:r>
          </w:p>
          <w:p w:rsidR="00D32981" w:rsidRPr="00D2227B" w:rsidRDefault="00D3298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981" w:rsidRDefault="00D32981" w:rsidP="00D222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A1090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12. Расходы на сбыт и распределение (в тыс. лей)</w:t>
            </w:r>
          </w:p>
          <w:p w:rsidR="00D32981" w:rsidRPr="00D2227B" w:rsidRDefault="00D3298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981" w:rsidRDefault="00D32981" w:rsidP="00D222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A1090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13. Расходы на маркетинговое исследование (в тыс. лей)</w:t>
            </w:r>
          </w:p>
          <w:p w:rsidR="00D32981" w:rsidRPr="00D2227B" w:rsidRDefault="00D3298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981" w:rsidRDefault="00D32981" w:rsidP="00D222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B" w:rsidTr="003E3EB6">
        <w:tc>
          <w:tcPr>
            <w:tcW w:w="5670" w:type="dxa"/>
          </w:tcPr>
          <w:p w:rsidR="00A10901" w:rsidRPr="00D2227B" w:rsidRDefault="00A10901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  <w:r w:rsidRPr="00D2227B">
              <w:rPr>
                <w:rFonts w:ascii="Times New Roman" w:hAnsi="Times New Roman"/>
                <w:b/>
                <w:sz w:val="20"/>
                <w:szCs w:val="24"/>
              </w:rPr>
              <w:t>14.Чистая операционная прибыль (в тыс. лей)</w:t>
            </w:r>
          </w:p>
          <w:p w:rsidR="00D32981" w:rsidRPr="00D2227B" w:rsidRDefault="003E6DC2" w:rsidP="00A109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15. </w:t>
            </w:r>
          </w:p>
        </w:tc>
        <w:tc>
          <w:tcPr>
            <w:tcW w:w="1701" w:type="dxa"/>
          </w:tcPr>
          <w:p w:rsidR="00D32981" w:rsidRDefault="00D2227B" w:rsidP="00D222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(10-11-12-13)</w:t>
            </w: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981" w:rsidRDefault="00D32981" w:rsidP="00D329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DE1" w:rsidRDefault="00CE4DE1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EUF"/>
      <w:bookmarkStart w:id="1" w:name="E4G"/>
      <w:bookmarkEnd w:id="0"/>
      <w:bookmarkEnd w:id="1"/>
    </w:p>
    <w:p w:rsidR="00F31452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31452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31452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31452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f3"/>
        <w:tblpPr w:leftFromText="180" w:rightFromText="180" w:vertAnchor="text" w:horzAnchor="margin" w:tblpXSpec="center" w:tblpY="142"/>
        <w:tblW w:w="7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6"/>
      </w:tblGrid>
      <w:tr w:rsidR="00F31452" w:rsidRPr="00F54D5F" w:rsidTr="00F31452">
        <w:trPr>
          <w:trHeight w:hRule="exact" w:val="3285"/>
        </w:trPr>
        <w:tc>
          <w:tcPr>
            <w:tcW w:w="7056" w:type="dxa"/>
          </w:tcPr>
          <w:p w:rsidR="00F31452" w:rsidRDefault="00F31452" w:rsidP="00F31452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Cs w:val="24"/>
              </w:rPr>
            </w:pPr>
            <w:r w:rsidRPr="00F54D5F">
              <w:rPr>
                <w:rFonts w:ascii="Times New Roman" w:hAnsi="Times New Roman"/>
                <w:noProof/>
                <w:szCs w:val="24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-1905</wp:posOffset>
                  </wp:positionV>
                  <wp:extent cx="1924050" cy="1914525"/>
                  <wp:effectExtent l="19050" t="0" r="0" b="0"/>
                  <wp:wrapNone/>
                  <wp:docPr id="5" name="Рисунок 1" descr="C:\Users\Matrix\Desktop\DUPLEX\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rix\Desktop\DUPLEX\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Cs w:val="24"/>
              </w:rPr>
              <w:t>Торговая марка</w:t>
            </w:r>
            <w:r w:rsidRPr="004D5B9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952AC1">
              <w:rPr>
                <w:rFonts w:ascii="Times New Roman" w:hAnsi="Times New Roman"/>
                <w:i/>
                <w:szCs w:val="24"/>
                <w:lang w:val="en-US"/>
              </w:rPr>
              <w:t>DUPLEX</w:t>
            </w:r>
            <w:r>
              <w:rPr>
                <w:rFonts w:ascii="Times New Roman" w:hAnsi="Times New Roman"/>
                <w:i/>
                <w:szCs w:val="24"/>
              </w:rPr>
              <w:t xml:space="preserve"> –                                                                                   </w:t>
            </w:r>
            <w:r w:rsidRPr="004D5B91">
              <w:rPr>
                <w:rFonts w:ascii="Times New Roman" w:hAnsi="Times New Roman"/>
                <w:szCs w:val="24"/>
              </w:rPr>
              <w:t>новая</w:t>
            </w:r>
            <w:r>
              <w:rPr>
                <w:rFonts w:ascii="Times New Roman" w:hAnsi="Times New Roman"/>
                <w:szCs w:val="24"/>
              </w:rPr>
              <w:t xml:space="preserve"> маркетинговая возможность,                                                               другими словами –                                                                                                        область покупательских нужд,                                                удовлетворение которых –                                                                                       основа прибыли компании Х.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31452" w:rsidRDefault="00F31452" w:rsidP="00F31452">
            <w:pPr>
              <w:rPr>
                <w:rFonts w:ascii="Times New Roman" w:hAnsi="Times New Roman"/>
                <w:szCs w:val="24"/>
              </w:rPr>
            </w:pPr>
          </w:p>
          <w:p w:rsidR="00F31452" w:rsidRDefault="00F31452" w:rsidP="00F31452">
            <w:pPr>
              <w:rPr>
                <w:rFonts w:ascii="Times New Roman" w:hAnsi="Times New Roman"/>
                <w:szCs w:val="24"/>
              </w:rPr>
            </w:pPr>
          </w:p>
          <w:p w:rsidR="00F31452" w:rsidRPr="00F54D5F" w:rsidRDefault="00F31452" w:rsidP="00F31452">
            <w:pPr>
              <w:tabs>
                <w:tab w:val="left" w:pos="171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</w:tr>
    </w:tbl>
    <w:p w:rsidR="00F31452" w:rsidRPr="00C03D06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31452" w:rsidRPr="00C03D06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31452" w:rsidRPr="00C03D06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31452" w:rsidRPr="00C03D06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31452" w:rsidRPr="00C03D06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31452" w:rsidRPr="00C03D06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31452" w:rsidRPr="00C03D06" w:rsidRDefault="00F31452" w:rsidP="0001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31452" w:rsidRPr="00C03D06" w:rsidRDefault="00F31452" w:rsidP="00217C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E5C90">
        <w:rPr>
          <w:rFonts w:ascii="Times New Roman" w:hAnsi="Times New Roman"/>
          <w:b/>
          <w:sz w:val="32"/>
          <w:szCs w:val="24"/>
        </w:rPr>
        <w:t xml:space="preserve">Позиционирование </w:t>
      </w:r>
      <w:r w:rsidR="00217C45" w:rsidRPr="004E5C90">
        <w:rPr>
          <w:rFonts w:ascii="Times New Roman" w:hAnsi="Times New Roman"/>
          <w:b/>
          <w:sz w:val="32"/>
          <w:szCs w:val="24"/>
        </w:rPr>
        <w:t xml:space="preserve">бренда – </w:t>
      </w:r>
      <w:r w:rsidR="00217C45" w:rsidRPr="004E5C90">
        <w:rPr>
          <w:rFonts w:ascii="Times New Roman" w:hAnsi="Times New Roman"/>
          <w:b/>
          <w:i/>
          <w:sz w:val="32"/>
          <w:szCs w:val="24"/>
          <w:lang w:val="en-US"/>
        </w:rPr>
        <w:t>DUPLEX</w:t>
      </w:r>
      <w:r w:rsidR="00217C45" w:rsidRPr="00C03D06">
        <w:rPr>
          <w:rFonts w:ascii="Times New Roman" w:hAnsi="Times New Roman"/>
          <w:b/>
          <w:sz w:val="32"/>
          <w:szCs w:val="24"/>
        </w:rPr>
        <w:t>.</w:t>
      </w:r>
    </w:p>
    <w:p w:rsidR="00217C45" w:rsidRDefault="00217C45" w:rsidP="00217C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бренда </w:t>
      </w:r>
      <w:r w:rsidRPr="00217C45">
        <w:rPr>
          <w:rFonts w:ascii="Times New Roman" w:hAnsi="Times New Roman"/>
          <w:i/>
          <w:sz w:val="24"/>
          <w:szCs w:val="24"/>
          <w:lang w:val="en-US"/>
        </w:rPr>
        <w:t>DUPLEX</w:t>
      </w:r>
      <w:r w:rsidRPr="00217C4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творческое решение, основанное на знании рынка, </w:t>
      </w:r>
      <w:r w:rsidR="00420A4D">
        <w:rPr>
          <w:rFonts w:ascii="Times New Roman" w:hAnsi="Times New Roman"/>
          <w:sz w:val="24"/>
          <w:szCs w:val="24"/>
        </w:rPr>
        <w:t>восприятии бренда среди общественных масс, реальных и потенциальных потребителей.</w:t>
      </w:r>
    </w:p>
    <w:p w:rsidR="00420A4D" w:rsidRDefault="00420A4D" w:rsidP="00420A4D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420A4D">
        <w:rPr>
          <w:rFonts w:ascii="Times New Roman" w:hAnsi="Times New Roman"/>
          <w:sz w:val="24"/>
          <w:szCs w:val="20"/>
        </w:rPr>
        <w:t xml:space="preserve">Процесс создания бренда достаточно сложен, а цена ошибки может составлять просто астрономическую сумму, поэтому многие крупные компании предпочитают не заниматься этим самостоятельно, а передать создание бренда фирме-профессионалу в этой области. Стоимость контракта только на создание имени продукта может составлять от 30 до 50 тыс. долларов, </w:t>
      </w:r>
      <w:r>
        <w:rPr>
          <w:rFonts w:ascii="Times New Roman" w:hAnsi="Times New Roman"/>
          <w:sz w:val="24"/>
          <w:szCs w:val="20"/>
        </w:rPr>
        <w:t xml:space="preserve">а </w:t>
      </w:r>
      <w:r w:rsidRPr="00420A4D">
        <w:rPr>
          <w:rFonts w:ascii="Times New Roman" w:hAnsi="Times New Roman"/>
          <w:sz w:val="24"/>
          <w:szCs w:val="20"/>
        </w:rPr>
        <w:t>в некоторых случаях сумма превышает 100 тысяч.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/>
          <w:sz w:val="24"/>
          <w:szCs w:val="20"/>
        </w:rPr>
        <w:t xml:space="preserve">Удачно выбранное имя продукта, продвигаемого на рынке, может принести колоссальную выгоду, а в противном случае - убыток, поэтому к созданию бренда </w:t>
      </w:r>
      <w:r w:rsidRPr="00420A4D">
        <w:rPr>
          <w:rFonts w:ascii="Times New Roman" w:hAnsi="Times New Roman"/>
          <w:i/>
          <w:sz w:val="24"/>
          <w:szCs w:val="20"/>
          <w:lang w:val="en-US"/>
        </w:rPr>
        <w:t>DUPLEX</w:t>
      </w:r>
      <w:r w:rsidRPr="00420A4D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, мы подошли со всей осторожностью и ответственностью, т.к. основная задача: </w:t>
      </w:r>
      <w:r>
        <w:rPr>
          <w:rFonts w:ascii="Times New Roman" w:hAnsi="Times New Roman"/>
          <w:szCs w:val="24"/>
        </w:rPr>
        <w:t xml:space="preserve">при помощи успешной политики управления, позиционирования и продвижения бренда, в кратчайшие сроки вывести торговую марку </w:t>
      </w:r>
      <w:r w:rsidRPr="002706CA">
        <w:rPr>
          <w:rFonts w:ascii="Times New Roman" w:hAnsi="Times New Roman"/>
          <w:i/>
          <w:szCs w:val="24"/>
          <w:lang w:val="en-US"/>
        </w:rPr>
        <w:t>DUPLEX</w:t>
      </w:r>
      <w:r w:rsidRPr="002706CA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на уровень общеизвестного и популярного Бренда, с годовым объемом продаж</w:t>
      </w:r>
      <w:r w:rsidRPr="00B629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</w:t>
      </w:r>
      <w:r w:rsidRPr="00B629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proofErr w:type="gramEnd"/>
      <w:r>
        <w:rPr>
          <w:rFonts w:ascii="Times New Roman" w:hAnsi="Times New Roman"/>
          <w:szCs w:val="24"/>
        </w:rPr>
        <w:t xml:space="preserve"> млн. ед. продукции.</w:t>
      </w:r>
    </w:p>
    <w:p w:rsidR="004E5C90" w:rsidRPr="00C03D06" w:rsidRDefault="004E5C90" w:rsidP="004E5C90">
      <w:pPr>
        <w:pStyle w:val="af6"/>
        <w:ind w:firstLine="300"/>
        <w:rPr>
          <w:b/>
          <w:szCs w:val="20"/>
        </w:rPr>
      </w:pPr>
      <w:r w:rsidRPr="004E5C90">
        <w:rPr>
          <w:b/>
          <w:szCs w:val="20"/>
        </w:rPr>
        <w:t xml:space="preserve">Что же такое </w:t>
      </w:r>
      <w:r w:rsidRPr="004E5C90">
        <w:rPr>
          <w:b/>
          <w:i/>
          <w:szCs w:val="20"/>
          <w:lang w:val="en-US"/>
        </w:rPr>
        <w:t>DUPLEX</w:t>
      </w:r>
      <w:proofErr w:type="gramStart"/>
      <w:r w:rsidRPr="00C03D06">
        <w:rPr>
          <w:b/>
          <w:i/>
          <w:szCs w:val="20"/>
        </w:rPr>
        <w:t xml:space="preserve"> ?</w:t>
      </w:r>
      <w:proofErr w:type="gramEnd"/>
    </w:p>
    <w:p w:rsidR="00D31391" w:rsidRDefault="004E5C90" w:rsidP="004E5C90">
      <w:pPr>
        <w:pStyle w:val="af6"/>
        <w:rPr>
          <w:szCs w:val="20"/>
        </w:rPr>
      </w:pPr>
      <w:proofErr w:type="gramStart"/>
      <w:r w:rsidRPr="004E5C90">
        <w:rPr>
          <w:i/>
          <w:szCs w:val="20"/>
          <w:lang w:val="en-US"/>
        </w:rPr>
        <w:t>DUPLEX</w:t>
      </w:r>
      <w:r w:rsidRPr="004E5C90">
        <w:rPr>
          <w:i/>
          <w:szCs w:val="20"/>
        </w:rPr>
        <w:t xml:space="preserve"> – </w:t>
      </w:r>
      <w:r>
        <w:rPr>
          <w:szCs w:val="20"/>
        </w:rPr>
        <w:t xml:space="preserve">это совершенно новая идея на фармацевтическом рынке </w:t>
      </w:r>
      <w:proofErr w:type="spellStart"/>
      <w:r>
        <w:rPr>
          <w:szCs w:val="20"/>
        </w:rPr>
        <w:t>контрацептивов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</w:p>
    <w:p w:rsidR="00D747C3" w:rsidRPr="00C03D06" w:rsidRDefault="00D747C3" w:rsidP="004E5C90">
      <w:pPr>
        <w:pStyle w:val="af6"/>
        <w:rPr>
          <w:szCs w:val="20"/>
        </w:rPr>
      </w:pPr>
      <w:r w:rsidRPr="004E5C90">
        <w:rPr>
          <w:i/>
          <w:szCs w:val="20"/>
          <w:lang w:val="en-US"/>
        </w:rPr>
        <w:t>DUPLEX</w:t>
      </w:r>
      <w:r>
        <w:t xml:space="preserve"> – это отступление от традиционного упаковывания презервативов по 3 штуки в пачке на 4 </w:t>
      </w:r>
      <w:proofErr w:type="gramStart"/>
      <w:r>
        <w:t>( 2х2</w:t>
      </w:r>
      <w:proofErr w:type="gramEnd"/>
      <w:r>
        <w:t xml:space="preserve">, т.е. по 2 презерватива каждого вида: </w:t>
      </w:r>
      <w:r>
        <w:rPr>
          <w:i/>
          <w:lang w:val="en-US"/>
        </w:rPr>
        <w:t>sensitive</w:t>
      </w:r>
      <w:r w:rsidRPr="00D747C3">
        <w:rPr>
          <w:i/>
        </w:rPr>
        <w:t xml:space="preserve"> </w:t>
      </w:r>
      <w:r w:rsidRPr="00D747C3">
        <w:t>(</w:t>
      </w:r>
      <w:r>
        <w:t xml:space="preserve">сверхтонкие) и </w:t>
      </w:r>
      <w:r w:rsidRPr="00D747C3">
        <w:rPr>
          <w:i/>
          <w:lang w:val="en-US"/>
        </w:rPr>
        <w:t>long</w:t>
      </w:r>
      <w:r w:rsidRPr="00D747C3">
        <w:rPr>
          <w:i/>
        </w:rPr>
        <w:t xml:space="preserve"> </w:t>
      </w:r>
      <w:r w:rsidRPr="00D747C3">
        <w:rPr>
          <w:i/>
          <w:lang w:val="en-US"/>
        </w:rPr>
        <w:t>pleasure</w:t>
      </w:r>
      <w:r w:rsidRPr="00D747C3">
        <w:rPr>
          <w:i/>
        </w:rPr>
        <w:t>)</w:t>
      </w:r>
      <w:r>
        <w:t xml:space="preserve"> с применением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слогана</w:t>
      </w:r>
      <w:proofErr w:type="spellEnd"/>
      <w:r>
        <w:rPr>
          <w:szCs w:val="20"/>
        </w:rPr>
        <w:t>: «</w:t>
      </w:r>
      <w:r w:rsidRPr="00077B01">
        <w:rPr>
          <w:i/>
          <w:szCs w:val="20"/>
          <w:lang w:val="en-US"/>
        </w:rPr>
        <w:t>DUPLEX</w:t>
      </w:r>
      <w:r>
        <w:rPr>
          <w:i/>
          <w:szCs w:val="20"/>
        </w:rPr>
        <w:t xml:space="preserve">- С НИМ ДОЛЬШЕ». </w:t>
      </w:r>
      <w:r>
        <w:rPr>
          <w:szCs w:val="20"/>
        </w:rPr>
        <w:t xml:space="preserve">С помощью данного подхода позиционирования, фирма Х нацелится на основных целевых потребителей – лиц от 16 до 35 лет (молодых, динамичных и современных). </w:t>
      </w:r>
      <w:r>
        <w:rPr>
          <w:i/>
          <w:szCs w:val="20"/>
        </w:rPr>
        <w:t xml:space="preserve">  </w:t>
      </w:r>
    </w:p>
    <w:p w:rsidR="004E5C90" w:rsidRPr="00D747C3" w:rsidRDefault="00D747C3" w:rsidP="004E5C90">
      <w:pPr>
        <w:pStyle w:val="af6"/>
        <w:rPr>
          <w:szCs w:val="20"/>
        </w:rPr>
      </w:pPr>
      <w:r>
        <w:t xml:space="preserve"> </w:t>
      </w:r>
      <w:proofErr w:type="gramStart"/>
      <w:r w:rsidRPr="004E5C90">
        <w:rPr>
          <w:i/>
          <w:szCs w:val="20"/>
          <w:lang w:val="en-US"/>
        </w:rPr>
        <w:t>DUPLEX</w:t>
      </w:r>
      <w:r w:rsidRPr="00D747C3">
        <w:rPr>
          <w:i/>
          <w:szCs w:val="20"/>
        </w:rPr>
        <w:t xml:space="preserve"> – </w:t>
      </w:r>
      <w:r>
        <w:rPr>
          <w:szCs w:val="20"/>
        </w:rPr>
        <w:t>это название, выделяющееся из числа конкурентов и занимающее значительное место в умах целевого сегмента по отношению к конкурирующим марка</w:t>
      </w:r>
      <w:r w:rsidR="00D31391">
        <w:rPr>
          <w:szCs w:val="20"/>
        </w:rPr>
        <w:t>м</w:t>
      </w:r>
      <w:r>
        <w:rPr>
          <w:szCs w:val="20"/>
        </w:rPr>
        <w:t xml:space="preserve"> презервативов.</w:t>
      </w:r>
      <w:proofErr w:type="gramEnd"/>
    </w:p>
    <w:p w:rsidR="004E5C90" w:rsidRDefault="004E5C90" w:rsidP="004E5C90">
      <w:pPr>
        <w:pStyle w:val="af6"/>
        <w:ind w:firstLine="300"/>
        <w:rPr>
          <w:szCs w:val="20"/>
        </w:rPr>
      </w:pPr>
    </w:p>
    <w:p w:rsidR="004E5C90" w:rsidRDefault="004E5C90" w:rsidP="004E5C90">
      <w:pPr>
        <w:pStyle w:val="af6"/>
        <w:ind w:firstLine="300"/>
        <w:rPr>
          <w:szCs w:val="20"/>
        </w:rPr>
      </w:pPr>
    </w:p>
    <w:p w:rsidR="004E5C90" w:rsidRPr="00420A4D" w:rsidRDefault="004E5C90" w:rsidP="00420A4D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24"/>
        </w:rPr>
      </w:pPr>
    </w:p>
    <w:sectPr w:rsidR="004E5C90" w:rsidRPr="00420A4D" w:rsidSect="00F25DB4">
      <w:pgSz w:w="11906" w:h="16838"/>
      <w:pgMar w:top="34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289"/>
    <w:multiLevelType w:val="hybridMultilevel"/>
    <w:tmpl w:val="C902EC2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B1FDC"/>
    <w:multiLevelType w:val="hybridMultilevel"/>
    <w:tmpl w:val="F3E4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4BCD"/>
    <w:multiLevelType w:val="hybridMultilevel"/>
    <w:tmpl w:val="EEDAA55A"/>
    <w:lvl w:ilvl="0" w:tplc="50FC4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1A8F"/>
    <w:multiLevelType w:val="hybridMultilevel"/>
    <w:tmpl w:val="E21037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06"/>
    <w:rsid w:val="000179DF"/>
    <w:rsid w:val="00023AE3"/>
    <w:rsid w:val="00030D7A"/>
    <w:rsid w:val="0006774E"/>
    <w:rsid w:val="00077B01"/>
    <w:rsid w:val="000B3A92"/>
    <w:rsid w:val="000F2326"/>
    <w:rsid w:val="00163AFC"/>
    <w:rsid w:val="00196E6D"/>
    <w:rsid w:val="00197967"/>
    <w:rsid w:val="001E20E5"/>
    <w:rsid w:val="00217C45"/>
    <w:rsid w:val="00257E35"/>
    <w:rsid w:val="002706CA"/>
    <w:rsid w:val="002D1C78"/>
    <w:rsid w:val="002E1A9F"/>
    <w:rsid w:val="002F156E"/>
    <w:rsid w:val="0039646A"/>
    <w:rsid w:val="003A35E8"/>
    <w:rsid w:val="003A478E"/>
    <w:rsid w:val="003C0D7A"/>
    <w:rsid w:val="003D2855"/>
    <w:rsid w:val="003E0A57"/>
    <w:rsid w:val="003E3EB6"/>
    <w:rsid w:val="003E6DC2"/>
    <w:rsid w:val="003F731B"/>
    <w:rsid w:val="00420A4D"/>
    <w:rsid w:val="0042384D"/>
    <w:rsid w:val="00437297"/>
    <w:rsid w:val="00496053"/>
    <w:rsid w:val="004A0503"/>
    <w:rsid w:val="004D5B91"/>
    <w:rsid w:val="004E5C90"/>
    <w:rsid w:val="004F2A3B"/>
    <w:rsid w:val="005504F9"/>
    <w:rsid w:val="005A7516"/>
    <w:rsid w:val="005C7942"/>
    <w:rsid w:val="005D586F"/>
    <w:rsid w:val="005F2F84"/>
    <w:rsid w:val="005F5067"/>
    <w:rsid w:val="00617FA8"/>
    <w:rsid w:val="00734AF3"/>
    <w:rsid w:val="0077000B"/>
    <w:rsid w:val="00776C25"/>
    <w:rsid w:val="007876ED"/>
    <w:rsid w:val="007A2372"/>
    <w:rsid w:val="007D6F86"/>
    <w:rsid w:val="00803BD8"/>
    <w:rsid w:val="0080647F"/>
    <w:rsid w:val="008135E5"/>
    <w:rsid w:val="008348A9"/>
    <w:rsid w:val="00884563"/>
    <w:rsid w:val="00890706"/>
    <w:rsid w:val="008B1524"/>
    <w:rsid w:val="008D019B"/>
    <w:rsid w:val="008D7311"/>
    <w:rsid w:val="008F176D"/>
    <w:rsid w:val="009166C2"/>
    <w:rsid w:val="00952AC1"/>
    <w:rsid w:val="009602EA"/>
    <w:rsid w:val="009A3D05"/>
    <w:rsid w:val="00A10901"/>
    <w:rsid w:val="00A1690C"/>
    <w:rsid w:val="00A716F9"/>
    <w:rsid w:val="00A94667"/>
    <w:rsid w:val="00AB5DEF"/>
    <w:rsid w:val="00AB7191"/>
    <w:rsid w:val="00AE4086"/>
    <w:rsid w:val="00AE6CC7"/>
    <w:rsid w:val="00B50DE0"/>
    <w:rsid w:val="00B6294D"/>
    <w:rsid w:val="00BA2871"/>
    <w:rsid w:val="00BA5069"/>
    <w:rsid w:val="00C03D06"/>
    <w:rsid w:val="00C43FD9"/>
    <w:rsid w:val="00C46FD1"/>
    <w:rsid w:val="00C57DE0"/>
    <w:rsid w:val="00CA1146"/>
    <w:rsid w:val="00CE4DE1"/>
    <w:rsid w:val="00CF270D"/>
    <w:rsid w:val="00D2227B"/>
    <w:rsid w:val="00D22470"/>
    <w:rsid w:val="00D31391"/>
    <w:rsid w:val="00D32981"/>
    <w:rsid w:val="00D747C3"/>
    <w:rsid w:val="00DD1B3F"/>
    <w:rsid w:val="00E26937"/>
    <w:rsid w:val="00E73825"/>
    <w:rsid w:val="00E95C0C"/>
    <w:rsid w:val="00EE4711"/>
    <w:rsid w:val="00EE4D0A"/>
    <w:rsid w:val="00EF19FC"/>
    <w:rsid w:val="00F25DB4"/>
    <w:rsid w:val="00F31452"/>
    <w:rsid w:val="00F3387A"/>
    <w:rsid w:val="00F41C78"/>
    <w:rsid w:val="00F50C0C"/>
    <w:rsid w:val="00F54D5F"/>
    <w:rsid w:val="00F5568A"/>
    <w:rsid w:val="00F5720F"/>
    <w:rsid w:val="00F7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06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02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2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2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2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2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2E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2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2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2E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02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02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02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02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02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02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0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0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02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02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02EA"/>
    <w:rPr>
      <w:b/>
      <w:bCs/>
    </w:rPr>
  </w:style>
  <w:style w:type="character" w:styleId="a8">
    <w:name w:val="Emphasis"/>
    <w:basedOn w:val="a0"/>
    <w:uiPriority w:val="20"/>
    <w:qFormat/>
    <w:rsid w:val="009602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02EA"/>
    <w:rPr>
      <w:szCs w:val="32"/>
    </w:rPr>
  </w:style>
  <w:style w:type="paragraph" w:styleId="aa">
    <w:name w:val="List Paragraph"/>
    <w:basedOn w:val="a"/>
    <w:uiPriority w:val="34"/>
    <w:qFormat/>
    <w:rsid w:val="009602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2EA"/>
    <w:rPr>
      <w:i/>
    </w:rPr>
  </w:style>
  <w:style w:type="character" w:customStyle="1" w:styleId="22">
    <w:name w:val="Цитата 2 Знак"/>
    <w:basedOn w:val="a0"/>
    <w:link w:val="21"/>
    <w:uiPriority w:val="29"/>
    <w:rsid w:val="009602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02E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602EA"/>
    <w:rPr>
      <w:b/>
      <w:i/>
      <w:sz w:val="24"/>
    </w:rPr>
  </w:style>
  <w:style w:type="character" w:styleId="ad">
    <w:name w:val="Subtle Emphasis"/>
    <w:uiPriority w:val="19"/>
    <w:qFormat/>
    <w:rsid w:val="009602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02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02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02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02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02EA"/>
    <w:pPr>
      <w:outlineLvl w:val="9"/>
    </w:pPr>
  </w:style>
  <w:style w:type="table" w:styleId="af3">
    <w:name w:val="Table Grid"/>
    <w:basedOn w:val="a1"/>
    <w:uiPriority w:val="59"/>
    <w:rsid w:val="00890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5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04F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4E5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MASCULAN</c:v>
                </c:pt>
                <c:pt idx="1">
                  <c:v>INNOTEX</c:v>
                </c:pt>
                <c:pt idx="2">
                  <c:v>DUREX</c:v>
                </c:pt>
                <c:pt idx="3">
                  <c:v>CONTEX</c:v>
                </c:pt>
                <c:pt idx="4">
                  <c:v>LIFE STYLES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5.7</c:v>
                </c:pt>
                <c:pt idx="1">
                  <c:v>4</c:v>
                </c:pt>
                <c:pt idx="2">
                  <c:v>4.7</c:v>
                </c:pt>
                <c:pt idx="3">
                  <c:v>3.2</c:v>
                </c:pt>
                <c:pt idx="4">
                  <c:v>2.6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40</cp:revision>
  <dcterms:created xsi:type="dcterms:W3CDTF">2010-01-29T17:19:00Z</dcterms:created>
  <dcterms:modified xsi:type="dcterms:W3CDTF">2010-02-25T19:47:00Z</dcterms:modified>
</cp:coreProperties>
</file>